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before="480"/>
      </w:pPr>
      <w:r>
        <w:rPr>
          <w:rFonts w:ascii="Arial" w:cs="Arial" w:eastAsia="Arial" w:hAnsi="Arial"/>
          <w:b/>
          <w:bCs/>
          <w:color w:val="0F2444"/>
          <w:sz w:val="52"/>
          <w:szCs w:val="52"/>
        </w:rPr>
        <w:t xml:space="preserve">SHAREHOLDERS AGREEMENT</w:t>
      </w:r>
    </w:p>
    <w:p>
      <w:pPr>
        <w:pBdr>
          <w:bottom w:val="single" w:color="C8870A" w:sz="8"/>
        </w:pBdr>
        <w:spacing w:after="60" w:before="0"/>
      </w:pPr>
      <w:r>
        <w:rPr>
          <w:rFonts w:ascii="Arial" w:cs="Arial" w:eastAsia="Arial" w:hAnsi="Arial"/>
          <w:color w:val="64748B"/>
          <w:sz w:val="24"/>
          <w:szCs w:val="24"/>
        </w:rPr>
        <w:t xml:space="preserve">Founder75 Programme  ·  Co-Founder Investment Structure  ·  v2</w:t>
      </w:r>
    </w:p>
    <w:p>
      <w:pPr>
        <w:spacing w:after="40" w:before="40"/>
      </w:pPr>
    </w:p>
    <w:p>
      <w:pPr>
        <w:spacing w:after="40" w:before="4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800"/>
        <w:gridCol w:w="6226"/>
      </w:tblGrid>
      <w:tr>
        <w:tc>
          <w:tcPr>
            <w:tcW w:type="dxa" w:w="2800"/>
            <w:tcBorders>
              <w:top w:val="none" w:color="FFFFFF" w:sz="0"/>
              <w:left w:val="none" w:color="FFFFFF" w:sz="0"/>
              <w:bottom w:val="none" w:color="FFFFFF" w:sz="0"/>
              <w:right w:val="none" w:color="FFFFFF" w:sz="0"/>
            </w:tcBorders>
            <w:tcMar>
              <w:top w:type="dxa" w:w="50"/>
              <w:left w:type="dxa" w:w="0"/>
              <w:bottom w:type="dxa" w:w="50"/>
              <w:right w:type="dxa" w:w="0"/>
            </w:tcMar>
          </w:tcPr>
          <w:p>
            <w:r>
              <w:rPr>
                <w:rFonts w:ascii="Arial" w:cs="Arial" w:eastAsia="Arial" w:hAnsi="Arial"/>
                <w:b/>
                <w:bCs/>
                <w:color w:val="64748B"/>
                <w:sz w:val="18"/>
                <w:szCs w:val="18"/>
              </w:rPr>
              <w:t xml:space="preserve">Document type:</w:t>
            </w:r>
          </w:p>
        </w:tc>
        <w:tc>
          <w:tcPr>
            <w:tcW w:type="dxa" w:w="6226"/>
            <w:tcBorders>
              <w:top w:val="none" w:color="FFFFFF" w:sz="0"/>
              <w:left w:val="none" w:color="FFFFFF" w:sz="0"/>
              <w:bottom w:val="none" w:color="FFFFFF" w:sz="0"/>
              <w:right w:val="none" w:color="FFFFFF" w:sz="0"/>
            </w:tcBorders>
            <w:tcMar>
              <w:top w:type="dxa" w:w="50"/>
              <w:left w:type="dxa" w:w="0"/>
              <w:bottom w:type="dxa" w:w="50"/>
              <w:right w:type="dxa" w:w="0"/>
            </w:tcMar>
          </w:tcPr>
          <w:p>
            <w:r>
              <w:rPr>
                <w:rFonts w:ascii="Arial" w:cs="Arial" w:eastAsia="Arial" w:hAnsi="Arial"/>
                <w:sz w:val="18"/>
                <w:szCs w:val="18"/>
              </w:rPr>
              <w:t xml:space="preserve">Shareholders Agreement</w:t>
            </w:r>
          </w:p>
        </w:tc>
      </w:tr>
      <w:tr>
        <w:tc>
          <w:tcPr>
            <w:tcW w:type="dxa" w:w="2800"/>
            <w:tcBorders>
              <w:top w:val="none" w:color="FFFFFF" w:sz="0"/>
              <w:left w:val="none" w:color="FFFFFF" w:sz="0"/>
              <w:bottom w:val="none" w:color="FFFFFF" w:sz="0"/>
              <w:right w:val="none" w:color="FFFFFF" w:sz="0"/>
            </w:tcBorders>
            <w:tcMar>
              <w:top w:type="dxa" w:w="50"/>
              <w:left w:type="dxa" w:w="0"/>
              <w:bottom w:type="dxa" w:w="50"/>
              <w:right w:type="dxa" w:w="0"/>
            </w:tcMar>
          </w:tcPr>
          <w:p>
            <w:r>
              <w:rPr>
                <w:rFonts w:ascii="Arial" w:cs="Arial" w:eastAsia="Arial" w:hAnsi="Arial"/>
                <w:b/>
                <w:bCs/>
                <w:color w:val="64748B"/>
                <w:sz w:val="18"/>
                <w:szCs w:val="18"/>
              </w:rPr>
              <w:t xml:space="preserve">Programme:</w:t>
            </w:r>
          </w:p>
        </w:tc>
        <w:tc>
          <w:tcPr>
            <w:tcW w:type="dxa" w:w="6226"/>
            <w:tcBorders>
              <w:top w:val="none" w:color="FFFFFF" w:sz="0"/>
              <w:left w:val="none" w:color="FFFFFF" w:sz="0"/>
              <w:bottom w:val="none" w:color="FFFFFF" w:sz="0"/>
              <w:right w:val="none" w:color="FFFFFF" w:sz="0"/>
            </w:tcBorders>
            <w:tcMar>
              <w:top w:type="dxa" w:w="50"/>
              <w:left w:type="dxa" w:w="0"/>
              <w:bottom w:type="dxa" w:w="50"/>
              <w:right w:type="dxa" w:w="0"/>
            </w:tcMar>
          </w:tcPr>
          <w:p>
            <w:r>
              <w:rPr>
                <w:rFonts w:ascii="Arial" w:cs="Arial" w:eastAsia="Arial" w:hAnsi="Arial"/>
                <w:sz w:val="18"/>
                <w:szCs w:val="18"/>
              </w:rPr>
              <w:t xml:space="preserve">Founder75 Co-Founder Programme</w:t>
            </w:r>
          </w:p>
        </w:tc>
      </w:tr>
      <w:tr>
        <w:tc>
          <w:tcPr>
            <w:tcW w:type="dxa" w:w="2800"/>
            <w:tcBorders>
              <w:top w:val="none" w:color="FFFFFF" w:sz="0"/>
              <w:left w:val="none" w:color="FFFFFF" w:sz="0"/>
              <w:bottom w:val="none" w:color="FFFFFF" w:sz="0"/>
              <w:right w:val="none" w:color="FFFFFF" w:sz="0"/>
            </w:tcBorders>
            <w:tcMar>
              <w:top w:type="dxa" w:w="50"/>
              <w:left w:type="dxa" w:w="0"/>
              <w:bottom w:type="dxa" w:w="50"/>
              <w:right w:type="dxa" w:w="0"/>
            </w:tcMar>
          </w:tcPr>
          <w:p>
            <w:r>
              <w:rPr>
                <w:rFonts w:ascii="Arial" w:cs="Arial" w:eastAsia="Arial" w:hAnsi="Arial"/>
                <w:b/>
                <w:bCs/>
                <w:color w:val="64748B"/>
                <w:sz w:val="18"/>
                <w:szCs w:val="18"/>
              </w:rPr>
              <w:t xml:space="preserve">Company:</w:t>
            </w:r>
          </w:p>
        </w:tc>
        <w:tc>
          <w:tcPr>
            <w:tcW w:type="dxa" w:w="6226"/>
            <w:tcBorders>
              <w:top w:val="none" w:color="FFFFFF" w:sz="0"/>
              <w:left w:val="none" w:color="FFFFFF" w:sz="0"/>
              <w:bottom w:val="none" w:color="FFFFFF" w:sz="0"/>
              <w:right w:val="none" w:color="FFFFFF" w:sz="0"/>
            </w:tcBorders>
            <w:tcMar>
              <w:top w:type="dxa" w:w="50"/>
              <w:left w:type="dxa" w:w="0"/>
              <w:bottom w:type="dxa" w:w="50"/>
              <w:right w:type="dxa" w:w="0"/>
            </w:tcMar>
          </w:tcPr>
          <w:p>
            <w:r>
              <w:rPr>
                <w:rFonts w:ascii="Arial" w:cs="Arial" w:eastAsia="Arial" w:hAnsi="Arial"/>
                <w:sz w:val="18"/>
                <w:szCs w:val="18"/>
              </w:rPr>
              <w:t xml:space="preserve">[COMPANY NAME] Limited (to be incorporated)</w:t>
            </w:r>
          </w:p>
        </w:tc>
      </w:tr>
      <w:tr>
        <w:tc>
          <w:tcPr>
            <w:tcW w:type="dxa" w:w="2800"/>
            <w:tcBorders>
              <w:top w:val="none" w:color="FFFFFF" w:sz="0"/>
              <w:left w:val="none" w:color="FFFFFF" w:sz="0"/>
              <w:bottom w:val="none" w:color="FFFFFF" w:sz="0"/>
              <w:right w:val="none" w:color="FFFFFF" w:sz="0"/>
            </w:tcBorders>
            <w:tcMar>
              <w:top w:type="dxa" w:w="50"/>
              <w:left w:type="dxa" w:w="0"/>
              <w:bottom w:type="dxa" w:w="50"/>
              <w:right w:type="dxa" w:w="0"/>
            </w:tcMar>
          </w:tcPr>
          <w:p>
            <w:r>
              <w:rPr>
                <w:rFonts w:ascii="Arial" w:cs="Arial" w:eastAsia="Arial" w:hAnsi="Arial"/>
                <w:b/>
                <w:bCs/>
                <w:color w:val="64748B"/>
                <w:sz w:val="18"/>
                <w:szCs w:val="18"/>
              </w:rPr>
              <w:t xml:space="preserve">Date:</w:t>
            </w:r>
          </w:p>
        </w:tc>
        <w:tc>
          <w:tcPr>
            <w:tcW w:type="dxa" w:w="6226"/>
            <w:tcBorders>
              <w:top w:val="none" w:color="FFFFFF" w:sz="0"/>
              <w:left w:val="none" w:color="FFFFFF" w:sz="0"/>
              <w:bottom w:val="none" w:color="FFFFFF" w:sz="0"/>
              <w:right w:val="none" w:color="FFFFFF" w:sz="0"/>
            </w:tcBorders>
            <w:tcMar>
              <w:top w:type="dxa" w:w="50"/>
              <w:left w:type="dxa" w:w="0"/>
              <w:bottom w:type="dxa" w:w="50"/>
              <w:right w:type="dxa" w:w="0"/>
            </w:tcMar>
          </w:tcPr>
          <w:p>
            <w:r>
              <w:rPr>
                <w:rFonts w:ascii="Arial" w:cs="Arial" w:eastAsia="Arial" w:hAnsi="Arial"/>
                <w:sz w:val="18"/>
                <w:szCs w:val="18"/>
              </w:rPr>
              <w:t xml:space="preserve">[DATE]</w:t>
            </w:r>
          </w:p>
        </w:tc>
      </w:tr>
      <w:tr>
        <w:tc>
          <w:tcPr>
            <w:tcW w:type="dxa" w:w="2800"/>
            <w:tcBorders>
              <w:top w:val="none" w:color="FFFFFF" w:sz="0"/>
              <w:left w:val="none" w:color="FFFFFF" w:sz="0"/>
              <w:bottom w:val="none" w:color="FFFFFF" w:sz="0"/>
              <w:right w:val="none" w:color="FFFFFF" w:sz="0"/>
            </w:tcBorders>
            <w:tcMar>
              <w:top w:type="dxa" w:w="50"/>
              <w:left w:type="dxa" w:w="0"/>
              <w:bottom w:type="dxa" w:w="50"/>
              <w:right w:type="dxa" w:w="0"/>
            </w:tcMar>
          </w:tcPr>
          <w:p>
            <w:r>
              <w:rPr>
                <w:rFonts w:ascii="Arial" w:cs="Arial" w:eastAsia="Arial" w:hAnsi="Arial"/>
                <w:b/>
                <w:bCs/>
                <w:color w:val="64748B"/>
                <w:sz w:val="18"/>
                <w:szCs w:val="18"/>
              </w:rPr>
              <w:t xml:space="preserve">Governing law:</w:t>
            </w:r>
          </w:p>
        </w:tc>
        <w:tc>
          <w:tcPr>
            <w:tcW w:type="dxa" w:w="6226"/>
            <w:tcBorders>
              <w:top w:val="none" w:color="FFFFFF" w:sz="0"/>
              <w:left w:val="none" w:color="FFFFFF" w:sz="0"/>
              <w:bottom w:val="none" w:color="FFFFFF" w:sz="0"/>
              <w:right w:val="none" w:color="FFFFFF" w:sz="0"/>
            </w:tcBorders>
            <w:tcMar>
              <w:top w:type="dxa" w:w="50"/>
              <w:left w:type="dxa" w:w="0"/>
              <w:bottom w:type="dxa" w:w="50"/>
              <w:right w:type="dxa" w:w="0"/>
            </w:tcMar>
          </w:tcPr>
          <w:p>
            <w:r>
              <w:rPr>
                <w:rFonts w:ascii="Arial" w:cs="Arial" w:eastAsia="Arial" w:hAnsi="Arial"/>
                <w:sz w:val="18"/>
                <w:szCs w:val="18"/>
              </w:rPr>
              <w:t xml:space="preserve">England and Wales</w:t>
            </w:r>
          </w:p>
        </w:tc>
      </w:tr>
    </w:tbl>
    <w:p>
      <w:pPr>
        <w:spacing w:after="40" w:before="40"/>
      </w:pPr>
    </w:p>
    <w:p>
      <w:pPr>
        <w:spacing w:after="80" w:before="40"/>
      </w:pPr>
      <w:r>
        <w:rPr>
          <w:rFonts w:ascii="Arial" w:cs="Arial" w:eastAsia="Arial" w:hAnsi="Arial"/>
          <w:i/>
          <w:iCs/>
          <w:color w:val="64748B"/>
          <w:sz w:val="17"/>
          <w:szCs w:val="17"/>
        </w:rPr>
        <w:t xml:space="preserve">Note: DRAFT — For review and comment. All bracketed fields must be completed before execution. Both parties should obtain independent legal advice before signing this Agreement.</w:t>
      </w:r>
    </w:p>
    <w:p>
      <w:pPr>
        <w:pageBreakBefore/>
      </w:pPr>
    </w:p>
    <w:p>
      <w:pPr>
        <w:pStyle w:val="Heading1"/>
        <w:spacing w:after="160" w:before="360"/>
      </w:pPr>
      <w:r>
        <w:rPr>
          <w:rFonts w:ascii="Arial" w:cs="Arial" w:eastAsia="Arial" w:hAnsi="Arial"/>
          <w:b/>
          <w:bCs/>
          <w:color w:val="0F2444"/>
          <w:sz w:val="28"/>
          <w:szCs w:val="28"/>
        </w:rPr>
        <w:t xml:space="preserve">1.  PARTIES</w:t>
      </w:r>
    </w:p>
    <w:p>
      <w:pPr>
        <w:spacing w:after="100" w:before="60"/>
      </w:pPr>
      <w:r>
        <w:rPr>
          <w:rFonts w:ascii="Arial" w:cs="Arial" w:eastAsia="Arial" w:hAnsi="Arial"/>
          <w:color w:val="333333"/>
          <w:sz w:val="20"/>
          <w:szCs w:val="20"/>
        </w:rPr>
        <w:t xml:space="preserve">This Agreement is made between:</w:t>
      </w:r>
    </w:p>
    <w:p>
      <w:pPr>
        <w:spacing w:after="100" w:before="60"/>
      </w:pPr>
      <w:r>
        <w:rPr>
          <w:rFonts w:ascii="Arial" w:cs="Arial" w:eastAsia="Arial" w:hAnsi="Arial"/>
          <w:color w:val="333333"/>
          <w:sz w:val="20"/>
          <w:szCs w:val="20"/>
        </w:rPr>
        <w:t xml:space="preserve">(1)  [FOUNDER FULL NAME] of [ADDRESS] (the "Founder");</w:t>
      </w:r>
    </w:p>
    <w:p>
      <w:pPr>
        <w:spacing w:after="100" w:before="60"/>
      </w:pPr>
      <w:r>
        <w:rPr>
          <w:rFonts w:ascii="Arial" w:cs="Arial" w:eastAsia="Arial" w:hAnsi="Arial"/>
          <w:color w:val="333333"/>
          <w:sz w:val="20"/>
          <w:szCs w:val="20"/>
        </w:rPr>
        <w:t xml:space="preserve">(2)  Macaire Solutions Ltd, incorporated in England and Wales (CH: 15754659), registered office at [ADDRESS], trading as Buildnetic and Digiconnekt ("Macaire" or "B+D"); and</w:t>
      </w:r>
    </w:p>
    <w:p>
      <w:pPr>
        <w:spacing w:after="100" w:before="60"/>
      </w:pPr>
      <w:r>
        <w:rPr>
          <w:rFonts w:ascii="Arial" w:cs="Arial" w:eastAsia="Arial" w:hAnsi="Arial"/>
          <w:color w:val="333333"/>
          <w:sz w:val="20"/>
          <w:szCs w:val="20"/>
        </w:rPr>
        <w:t xml:space="preserve">(3)  [COMPANY NAME] Limited, to be incorporated in England and Wales under the Founder75 programme (the "Company").</w:t>
      </w:r>
    </w:p>
    <w:p>
      <w:pPr>
        <w:spacing w:after="40" w:before="40"/>
      </w:pPr>
    </w:p>
    <w:p>
      <w:pPr>
        <w:spacing w:after="100" w:before="60"/>
      </w:pPr>
      <w:r>
        <w:rPr>
          <w:rFonts w:ascii="Arial" w:cs="Arial" w:eastAsia="Arial" w:hAnsi="Arial"/>
          <w:color w:val="333333"/>
          <w:sz w:val="20"/>
          <w:szCs w:val="20"/>
        </w:rPr>
        <w:t xml:space="preserve">Macaire Solutions Ltd acts in its capacity as service provider under clause 9 and as shareholder under clause 8. Nothing in this Agreement makes Macaire Solutions Ltd a guarantor of any obligation of the Company.</w:t>
      </w:r>
    </w:p>
    <w:p>
      <w:pPr>
        <w:pStyle w:val="Heading1"/>
        <w:spacing w:after="160" w:before="360"/>
      </w:pPr>
      <w:r>
        <w:rPr>
          <w:rFonts w:ascii="Arial" w:cs="Arial" w:eastAsia="Arial" w:hAnsi="Arial"/>
          <w:b/>
          <w:bCs/>
          <w:color w:val="0F2444"/>
          <w:sz w:val="28"/>
          <w:szCs w:val="28"/>
        </w:rPr>
        <w:t xml:space="preserve">2.  BACKGROUND</w:t>
      </w:r>
    </w:p>
    <w:p>
      <w:pPr>
        <w:spacing w:after="100" w:before="60"/>
      </w:pPr>
      <w:r>
        <w:rPr>
          <w:rFonts w:ascii="Arial" w:cs="Arial" w:eastAsia="Arial" w:hAnsi="Arial"/>
          <w:color w:val="333333"/>
          <w:sz w:val="20"/>
          <w:szCs w:val="20"/>
        </w:rPr>
        <w:t xml:space="preserve">2.1  The Founder has elected to participate in the Founder75 programme operated by Macaire Solutions Ltd. On incorporation, the Company will be funded by the Founder's capital investment. Macaire Solutions Ltd will provide technology and growth services through its Buildnetic and Digiconnekt service lines in exchange for a minority equity stake vesting monthly during the Sprint as set out in clause 6. Buildnetic and Digiconnekt are trading names of Macaire Solutions Ltd only and are not separate legal entities.</w:t>
      </w:r>
    </w:p>
    <w:p>
      <w:pPr>
        <w:spacing w:after="100" w:before="60"/>
      </w:pPr>
      <w:r>
        <w:rPr>
          <w:rFonts w:ascii="Arial" w:cs="Arial" w:eastAsia="Arial" w:hAnsi="Arial"/>
          <w:color w:val="333333"/>
          <w:sz w:val="20"/>
          <w:szCs w:val="20"/>
        </w:rPr>
        <w:t xml:space="preserve">2.2  This Agreement records the equity, invoicing, and governance arrangements between the parties in respect of the Company. The Founder retains majority ownership and acts as sole director with full operational control.</w:t>
      </w:r>
    </w:p>
    <w:p>
      <w:pPr>
        <w:spacing w:after="100" w:before="60"/>
      </w:pPr>
      <w:r>
        <w:rPr>
          <w:rFonts w:ascii="Arial" w:cs="Arial" w:eastAsia="Arial" w:hAnsi="Arial"/>
          <w:color w:val="333333"/>
          <w:sz w:val="20"/>
          <w:szCs w:val="20"/>
        </w:rPr>
        <w:t xml:space="preserve">2.3  B+D has no management authority over the Company. The Founder acts as sole director with full operational control as provided in clause 7.</w:t>
      </w:r>
    </w:p>
    <w:p>
      <w:pPr>
        <w:pStyle w:val="Heading1"/>
        <w:spacing w:after="160" w:before="360"/>
      </w:pPr>
      <w:r>
        <w:rPr>
          <w:rFonts w:ascii="Arial" w:cs="Arial" w:eastAsia="Arial" w:hAnsi="Arial"/>
          <w:b/>
          <w:bCs/>
          <w:color w:val="0F2444"/>
          <w:sz w:val="28"/>
          <w:szCs w:val="28"/>
        </w:rPr>
        <w:t xml:space="preserve">3.  CONDITIONS PRECEDENT</w:t>
      </w:r>
    </w:p>
    <w:p>
      <w:pPr>
        <w:spacing w:after="100" w:before="60"/>
      </w:pPr>
      <w:r>
        <w:rPr>
          <w:rFonts w:ascii="Arial" w:cs="Arial" w:eastAsia="Arial" w:hAnsi="Arial"/>
          <w:color w:val="333333"/>
          <w:sz w:val="20"/>
          <w:szCs w:val="20"/>
        </w:rPr>
        <w:t xml:space="preserve">3.1  The substantive obligations of the parties (other than clauses 13 (Confidentiality), 14 (Data Protection), 19 (Dispute Resolution), and 21 (General)) shall not commence until all of the following conditions have been satisfied or waived in writing by the relevant party:</w:t>
      </w:r>
    </w:p>
    <w:p>
      <w:pPr>
        <w:pStyle w:val="ListParagraph"/>
        <w:numPr>
          <w:ilvl w:val="0"/>
          <w:numId w:val="2"/>
        </w:numPr>
        <w:spacing w:after="60" w:before="40"/>
      </w:pPr>
      <w:r>
        <w:rPr>
          <w:rFonts w:ascii="Arial" w:cs="Arial" w:eastAsia="Arial" w:hAnsi="Arial"/>
          <w:color w:val="333333"/>
          <w:sz w:val="20"/>
          <w:szCs w:val="20"/>
        </w:rPr>
        <w:t xml:space="preserve">SEIS Advance Assurance has been received from HMRC in respect of the Company;</w:t>
      </w:r>
    </w:p>
    <w:p>
      <w:pPr>
        <w:pStyle w:val="ListParagraph"/>
        <w:numPr>
          <w:ilvl w:val="0"/>
          <w:numId w:val="2"/>
        </w:numPr>
        <w:spacing w:after="60" w:before="40"/>
      </w:pPr>
      <w:r>
        <w:rPr>
          <w:rFonts w:ascii="Arial" w:cs="Arial" w:eastAsia="Arial" w:hAnsi="Arial"/>
          <w:color w:val="333333"/>
          <w:sz w:val="20"/>
          <w:szCs w:val="20"/>
        </w:rPr>
        <w:t xml:space="preserve">The Company has been duly incorporated and bespoke Articles of Association consistent with this Agreement have been adopted;</w:t>
      </w:r>
    </w:p>
    <w:p>
      <w:pPr>
        <w:pStyle w:val="ListParagraph"/>
        <w:numPr>
          <w:ilvl w:val="0"/>
          <w:numId w:val="2"/>
        </w:numPr>
        <w:spacing w:after="60" w:before="40"/>
      </w:pPr>
      <w:r>
        <w:rPr>
          <w:rFonts w:ascii="Arial" w:cs="Arial" w:eastAsia="Arial" w:hAnsi="Arial"/>
          <w:color w:val="333333"/>
          <w:sz w:val="20"/>
          <w:szCs w:val="20"/>
        </w:rPr>
        <w:t xml:space="preserve">Class A and Class B shares have been registered at Companies House;</w:t>
      </w:r>
    </w:p>
    <w:p>
      <w:pPr>
        <w:pStyle w:val="ListParagraph"/>
        <w:numPr>
          <w:ilvl w:val="0"/>
          <w:numId w:val="2"/>
        </w:numPr>
        <w:spacing w:after="60" w:before="40"/>
      </w:pPr>
      <w:r>
        <w:rPr>
          <w:rFonts w:ascii="Arial" w:cs="Arial" w:eastAsia="Arial" w:hAnsi="Arial"/>
          <w:color w:val="333333"/>
          <w:sz w:val="20"/>
          <w:szCs w:val="20"/>
        </w:rPr>
        <w:t xml:space="preserve">A business bank account has been opened in the Company's name with the Founder as sole authorised signatory;</w:t>
      </w:r>
    </w:p>
    <w:p>
      <w:pPr>
        <w:pStyle w:val="ListParagraph"/>
        <w:numPr>
          <w:ilvl w:val="0"/>
          <w:numId w:val="2"/>
        </w:numPr>
        <w:spacing w:after="60" w:before="40"/>
      </w:pPr>
      <w:r>
        <w:rPr>
          <w:rFonts w:ascii="Arial" w:cs="Arial" w:eastAsia="Arial" w:hAnsi="Arial"/>
          <w:color w:val="333333"/>
          <w:sz w:val="20"/>
          <w:szCs w:val="20"/>
        </w:rPr>
        <w:t xml:space="preserve">An IP Assignment Deed covering any pre-Completion deliverables has been executed by B+D in favour of the Company;</w:t>
      </w:r>
    </w:p>
    <w:p>
      <w:pPr>
        <w:pStyle w:val="ListParagraph"/>
        <w:numPr>
          <w:ilvl w:val="0"/>
          <w:numId w:val="2"/>
        </w:numPr>
        <w:spacing w:after="60" w:before="40"/>
      </w:pPr>
      <w:r>
        <w:rPr>
          <w:rFonts w:ascii="Arial" w:cs="Arial" w:eastAsia="Arial" w:hAnsi="Arial"/>
          <w:color w:val="333333"/>
          <w:sz w:val="20"/>
          <w:szCs w:val="20"/>
        </w:rPr>
        <w:t xml:space="preserve">A Data Processing Agreement (clause 14.2) has been executed; and</w:t>
      </w:r>
    </w:p>
    <w:p>
      <w:pPr>
        <w:pStyle w:val="ListParagraph"/>
        <w:numPr>
          <w:ilvl w:val="0"/>
          <w:numId w:val="2"/>
        </w:numPr>
        <w:spacing w:after="60" w:before="40"/>
      </w:pPr>
      <w:r>
        <w:rPr>
          <w:rFonts w:ascii="Arial" w:cs="Arial" w:eastAsia="Arial" w:hAnsi="Arial"/>
          <w:color w:val="333333"/>
          <w:sz w:val="20"/>
          <w:szCs w:val="20"/>
        </w:rPr>
        <w:t xml:space="preserve">Source of funds documentation has been provided by the Founder per clause 15.1(e).</w:t>
      </w:r>
    </w:p>
    <w:p>
      <w:pPr>
        <w:spacing w:after="40" w:before="40"/>
      </w:pPr>
    </w:p>
    <w:p>
      <w:pPr>
        <w:spacing w:after="100" w:before="60"/>
      </w:pPr>
      <w:r>
        <w:rPr>
          <w:rFonts w:ascii="Arial" w:cs="Arial" w:eastAsia="Arial" w:hAnsi="Arial"/>
          <w:color w:val="333333"/>
          <w:sz w:val="20"/>
          <w:szCs w:val="20"/>
        </w:rPr>
        <w:t xml:space="preserve">3.2  If any condition is not satisfied or waived within 60 calendar days of the date of this Agreement, either party may terminate by written notice, with no liability except as to costs already incurred.</w:t>
      </w:r>
    </w:p>
    <w:p>
      <w:pPr>
        <w:pStyle w:val="Heading1"/>
        <w:spacing w:after="160" w:before="360"/>
      </w:pPr>
      <w:r>
        <w:rPr>
          <w:rFonts w:ascii="Arial" w:cs="Arial" w:eastAsia="Arial" w:hAnsi="Arial"/>
          <w:b/>
          <w:bCs/>
          <w:color w:val="0F2444"/>
          <w:sz w:val="28"/>
          <w:szCs w:val="28"/>
        </w:rPr>
        <w:t xml:space="preserve">4.  DEFINITIONS</w:t>
      </w:r>
    </w:p>
    <w:p>
      <w:pPr>
        <w:spacing w:after="40" w:before="4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600"/>
        <w:gridCol w:w="6426"/>
      </w:tblGrid>
      <w:tr>
        <w:tc>
          <w:tcPr>
            <w:tcW w:type="dxa" w:w="2600"/>
            <w:tcBorders>
              <w:top w:val="single" w:color="E2E8F0" w:sz="1"/>
              <w:left w:val="none" w:color="FFFFFF" w:sz="0"/>
              <w:bottom w:val="single" w:color="E2E8F0" w:sz="1"/>
              <w:right w:val="none" w:color="FFFFFF" w:sz="0"/>
            </w:tcBorders>
            <w:tcMar>
              <w:top w:type="dxa" w:w="80"/>
              <w:left w:type="dxa" w:w="0"/>
              <w:bottom w:type="dxa" w:w="80"/>
              <w:right w:type="dxa" w:w="160"/>
            </w:tcMar>
          </w:tcPr>
          <w:p>
            <w:r>
              <w:rPr>
                <w:rFonts w:ascii="Arial" w:cs="Arial" w:eastAsia="Arial" w:hAnsi="Arial"/>
                <w:b/>
                <w:bCs/>
                <w:color w:val="0F2444"/>
                <w:sz w:val="19"/>
                <w:szCs w:val="19"/>
              </w:rPr>
              <w:t xml:space="preserve">"B+D"</w:t>
            </w:r>
          </w:p>
        </w:tc>
        <w:tc>
          <w:tcPr>
            <w:tcW w:type="dxa" w:w="6426"/>
            <w:tcBorders>
              <w:top w:val="single" w:color="E2E8F0" w:sz="1"/>
              <w:left w:val="none" w:color="FFFFFF" w:sz="0"/>
              <w:bottom w:val="single" w:color="E2E8F0" w:sz="1"/>
              <w:right w:val="none" w:color="FFFFFF" w:sz="0"/>
            </w:tcBorders>
            <w:tcMar>
              <w:top w:type="dxa" w:w="80"/>
              <w:left w:type="dxa" w:w="160"/>
              <w:bottom w:type="dxa" w:w="80"/>
              <w:right w:type="dxa" w:w="0"/>
            </w:tcMar>
          </w:tcPr>
          <w:p>
            <w:r>
              <w:rPr>
                <w:rFonts w:ascii="Arial" w:cs="Arial" w:eastAsia="Arial" w:hAnsi="Arial"/>
                <w:color w:val="333333"/>
                <w:sz w:val="19"/>
                <w:szCs w:val="19"/>
              </w:rPr>
              <w:t xml:space="preserve">Macaire Solutions Ltd (company number CH: 15754659), a company incorporated in England and Wales, which provides services under two trading names: Buildnetic (technology and product development) and Digiconnekt (growth, marketing, and commercial operations). Where this Agreement refers to 'B+D' it means Macaire Solutions Ltd acting through either or both of its Buildnetic and Digiconnekt service lines. The two trading names are brands of Macaire Solutions Ltd and do not constitute separate legal entities.</w:t>
            </w:r>
          </w:p>
        </w:tc>
      </w:tr>
      <w:tr>
        <w:tc>
          <w:tcPr>
            <w:tcW w:type="dxa" w:w="2600"/>
            <w:tcBorders>
              <w:top w:val="single" w:color="E2E8F0" w:sz="1"/>
              <w:left w:val="none" w:color="FFFFFF" w:sz="0"/>
              <w:bottom w:val="single" w:color="E2E8F0" w:sz="1"/>
              <w:right w:val="none" w:color="FFFFFF" w:sz="0"/>
            </w:tcBorders>
            <w:tcMar>
              <w:top w:type="dxa" w:w="80"/>
              <w:left w:type="dxa" w:w="0"/>
              <w:bottom w:type="dxa" w:w="80"/>
              <w:right w:type="dxa" w:w="160"/>
            </w:tcMar>
          </w:tcPr>
          <w:p>
            <w:r>
              <w:rPr>
                <w:rFonts w:ascii="Arial" w:cs="Arial" w:eastAsia="Arial" w:hAnsi="Arial"/>
                <w:b/>
                <w:bCs/>
                <w:color w:val="0F2444"/>
                <w:sz w:val="19"/>
                <w:szCs w:val="19"/>
              </w:rPr>
              <w:t xml:space="preserve">"Articles"</w:t>
            </w:r>
          </w:p>
        </w:tc>
        <w:tc>
          <w:tcPr>
            <w:tcW w:type="dxa" w:w="6426"/>
            <w:tcBorders>
              <w:top w:val="single" w:color="E2E8F0" w:sz="1"/>
              <w:left w:val="none" w:color="FFFFFF" w:sz="0"/>
              <w:bottom w:val="single" w:color="E2E8F0" w:sz="1"/>
              <w:right w:val="none" w:color="FFFFFF" w:sz="0"/>
            </w:tcBorders>
            <w:tcMar>
              <w:top w:type="dxa" w:w="80"/>
              <w:left w:type="dxa" w:w="160"/>
              <w:bottom w:type="dxa" w:w="80"/>
              <w:right w:type="dxa" w:w="0"/>
            </w:tcMar>
          </w:tcPr>
          <w:p>
            <w:r>
              <w:rPr>
                <w:rFonts w:ascii="Arial" w:cs="Arial" w:eastAsia="Arial" w:hAnsi="Arial"/>
                <w:color w:val="333333"/>
                <w:sz w:val="19"/>
                <w:szCs w:val="19"/>
              </w:rPr>
              <w:t xml:space="preserve">The bespoke Articles of Association of the Company adopted at or before Completion. In case of conflict between this Agreement and the Articles, the parties shall procure that the Articles are amended to conform to this Agreement within 10 Business Days of the conflict being identified.</w:t>
            </w:r>
          </w:p>
        </w:tc>
      </w:tr>
      <w:tr>
        <w:tc>
          <w:tcPr>
            <w:tcW w:type="dxa" w:w="2600"/>
            <w:tcBorders>
              <w:top w:val="single" w:color="E2E8F0" w:sz="1"/>
              <w:left w:val="none" w:color="FFFFFF" w:sz="0"/>
              <w:bottom w:val="single" w:color="E2E8F0" w:sz="1"/>
              <w:right w:val="none" w:color="FFFFFF" w:sz="0"/>
            </w:tcBorders>
            <w:tcMar>
              <w:top w:type="dxa" w:w="80"/>
              <w:left w:type="dxa" w:w="0"/>
              <w:bottom w:type="dxa" w:w="80"/>
              <w:right w:type="dxa" w:w="160"/>
            </w:tcMar>
          </w:tcPr>
          <w:p>
            <w:r>
              <w:rPr>
                <w:rFonts w:ascii="Arial" w:cs="Arial" w:eastAsia="Arial" w:hAnsi="Arial"/>
                <w:b/>
                <w:bCs/>
                <w:color w:val="0F2444"/>
                <w:sz w:val="19"/>
                <w:szCs w:val="19"/>
              </w:rPr>
              <w:t xml:space="preserve">"Macaire"</w:t>
            </w:r>
          </w:p>
        </w:tc>
        <w:tc>
          <w:tcPr>
            <w:tcW w:type="dxa" w:w="6426"/>
            <w:tcBorders>
              <w:top w:val="single" w:color="E2E8F0" w:sz="1"/>
              <w:left w:val="none" w:color="FFFFFF" w:sz="0"/>
              <w:bottom w:val="single" w:color="E2E8F0" w:sz="1"/>
              <w:right w:val="none" w:color="FFFFFF" w:sz="0"/>
            </w:tcBorders>
            <w:tcMar>
              <w:top w:type="dxa" w:w="80"/>
              <w:left w:type="dxa" w:w="160"/>
              <w:bottom w:type="dxa" w:w="80"/>
              <w:right w:type="dxa" w:w="0"/>
            </w:tcMar>
          </w:tcPr>
          <w:p>
            <w:r>
              <w:rPr>
                <w:rFonts w:ascii="Arial" w:cs="Arial" w:eastAsia="Arial" w:hAnsi="Arial"/>
                <w:color w:val="333333"/>
                <w:sz w:val="19"/>
                <w:szCs w:val="19"/>
              </w:rPr>
              <w:t xml:space="preserve">Macaire Solutions Ltd (company number CH: 15754659), the same legal entity as B+D. The terms 'Macaire', 'B+D', and 'Macaire Solutions Ltd' are interchangeable throughout this Agreement and all refer to the same incorporated entity. Where any operative clause uses 'Macaire Solutions Ltd' in full, it carries the same legal meaning as 'B+D'.</w:t>
            </w:r>
          </w:p>
        </w:tc>
      </w:tr>
      <w:tr>
        <w:tc>
          <w:tcPr>
            <w:tcW w:type="dxa" w:w="2600"/>
            <w:tcBorders>
              <w:top w:val="single" w:color="E2E8F0" w:sz="1"/>
              <w:left w:val="none" w:color="FFFFFF" w:sz="0"/>
              <w:bottom w:val="single" w:color="E2E8F0" w:sz="1"/>
              <w:right w:val="none" w:color="FFFFFF" w:sz="0"/>
            </w:tcBorders>
            <w:tcMar>
              <w:top w:type="dxa" w:w="80"/>
              <w:left w:type="dxa" w:w="0"/>
              <w:bottom w:type="dxa" w:w="80"/>
              <w:right w:type="dxa" w:w="160"/>
            </w:tcMar>
          </w:tcPr>
          <w:p>
            <w:r>
              <w:rPr>
                <w:rFonts w:ascii="Arial" w:cs="Arial" w:eastAsia="Arial" w:hAnsi="Arial"/>
                <w:b/>
                <w:bCs/>
                <w:color w:val="0F2444"/>
                <w:sz w:val="19"/>
                <w:szCs w:val="19"/>
              </w:rPr>
              <w:t xml:space="preserve">"Background IP"</w:t>
            </w:r>
          </w:p>
        </w:tc>
        <w:tc>
          <w:tcPr>
            <w:tcW w:type="dxa" w:w="6426"/>
            <w:tcBorders>
              <w:top w:val="single" w:color="E2E8F0" w:sz="1"/>
              <w:left w:val="none" w:color="FFFFFF" w:sz="0"/>
              <w:bottom w:val="single" w:color="E2E8F0" w:sz="1"/>
              <w:right w:val="none" w:color="FFFFFF" w:sz="0"/>
            </w:tcBorders>
            <w:tcMar>
              <w:top w:type="dxa" w:w="80"/>
              <w:left w:type="dxa" w:w="160"/>
              <w:bottom w:type="dxa" w:w="80"/>
              <w:right w:type="dxa" w:w="0"/>
            </w:tcMar>
          </w:tcPr>
          <w:p>
            <w:r>
              <w:rPr>
                <w:rFonts w:ascii="Arial" w:cs="Arial" w:eastAsia="Arial" w:hAnsi="Arial"/>
                <w:color w:val="333333"/>
                <w:sz w:val="19"/>
                <w:szCs w:val="19"/>
              </w:rPr>
              <w:t xml:space="preserve">All Intellectual Property owned by or licensed to B+D prior to the Completion Date, or developed independently of the Services, including proprietary frameworks, codebases, toolkits, methodologies, and know-how. A non-exhaustive list is in Schedule 5.</w:t>
            </w:r>
          </w:p>
        </w:tc>
      </w:tr>
      <w:tr>
        <w:tc>
          <w:tcPr>
            <w:tcW w:type="dxa" w:w="2600"/>
            <w:tcBorders>
              <w:top w:val="single" w:color="E2E8F0" w:sz="1"/>
              <w:left w:val="none" w:color="FFFFFF" w:sz="0"/>
              <w:bottom w:val="single" w:color="E2E8F0" w:sz="1"/>
              <w:right w:val="none" w:color="FFFFFF" w:sz="0"/>
            </w:tcBorders>
            <w:tcMar>
              <w:top w:type="dxa" w:w="80"/>
              <w:left w:type="dxa" w:w="0"/>
              <w:bottom w:type="dxa" w:w="80"/>
              <w:right w:type="dxa" w:w="160"/>
            </w:tcMar>
          </w:tcPr>
          <w:p>
            <w:r>
              <w:rPr>
                <w:rFonts w:ascii="Arial" w:cs="Arial" w:eastAsia="Arial" w:hAnsi="Arial"/>
                <w:b/>
                <w:bCs/>
                <w:color w:val="0F2444"/>
                <w:sz w:val="19"/>
                <w:szCs w:val="19"/>
              </w:rPr>
              <w:t xml:space="preserve">"Advisor Equity Pool"</w:t>
            </w:r>
          </w:p>
        </w:tc>
        <w:tc>
          <w:tcPr>
            <w:tcW w:type="dxa" w:w="6426"/>
            <w:tcBorders>
              <w:top w:val="single" w:color="E2E8F0" w:sz="1"/>
              <w:left w:val="none" w:color="FFFFFF" w:sz="0"/>
              <w:bottom w:val="single" w:color="E2E8F0" w:sz="1"/>
              <w:right w:val="none" w:color="FFFFFF" w:sz="0"/>
            </w:tcBorders>
            <w:tcMar>
              <w:top w:type="dxa" w:w="80"/>
              <w:left w:type="dxa" w:w="160"/>
              <w:bottom w:type="dxa" w:w="80"/>
              <w:right w:type="dxa" w:w="0"/>
            </w:tcMar>
          </w:tcPr>
          <w:p>
            <w:r>
              <w:rPr>
                <w:rFonts w:ascii="Arial" w:cs="Arial" w:eastAsia="Arial" w:hAnsi="Arial"/>
                <w:color w:val="333333"/>
                <w:sz w:val="19"/>
                <w:szCs w:val="19"/>
              </w:rPr>
              <w:t xml:space="preserve">The portion of B+D's Equity Cap (not exceeding 10% of the total Equity Cap percentage) that B+D may allocate to Approved Advisors pursuant to clause 5A. The Advisor Equity Pool reduces B+D's net equity entitlement accordingly and does not affect the Founder's equity.</w:t>
            </w:r>
          </w:p>
        </w:tc>
      </w:tr>
      <w:tr>
        <w:tc>
          <w:tcPr>
            <w:tcW w:type="dxa" w:w="2600"/>
            <w:tcBorders>
              <w:top w:val="single" w:color="E2E8F0" w:sz="1"/>
              <w:left w:val="none" w:color="FFFFFF" w:sz="0"/>
              <w:bottom w:val="single" w:color="E2E8F0" w:sz="1"/>
              <w:right w:val="none" w:color="FFFFFF" w:sz="0"/>
            </w:tcBorders>
            <w:tcMar>
              <w:top w:type="dxa" w:w="80"/>
              <w:left w:type="dxa" w:w="0"/>
              <w:bottom w:type="dxa" w:w="80"/>
              <w:right w:type="dxa" w:w="160"/>
            </w:tcMar>
          </w:tcPr>
          <w:p>
            <w:r>
              <w:rPr>
                <w:rFonts w:ascii="Arial" w:cs="Arial" w:eastAsia="Arial" w:hAnsi="Arial"/>
                <w:b/>
                <w:bCs/>
                <w:color w:val="0F2444"/>
                <w:sz w:val="19"/>
                <w:szCs w:val="19"/>
              </w:rPr>
              <w:t xml:space="preserve">"Approved Advisor"</w:t>
            </w:r>
          </w:p>
        </w:tc>
        <w:tc>
          <w:tcPr>
            <w:tcW w:type="dxa" w:w="6426"/>
            <w:tcBorders>
              <w:top w:val="single" w:color="E2E8F0" w:sz="1"/>
              <w:left w:val="none" w:color="FFFFFF" w:sz="0"/>
              <w:bottom w:val="single" w:color="E2E8F0" w:sz="1"/>
              <w:right w:val="none" w:color="FFFFFF" w:sz="0"/>
            </w:tcBorders>
            <w:tcMar>
              <w:top w:type="dxa" w:w="80"/>
              <w:left w:type="dxa" w:w="160"/>
              <w:bottom w:type="dxa" w:w="80"/>
              <w:right w:type="dxa" w:w="0"/>
            </w:tcMar>
          </w:tcPr>
          <w:p>
            <w:r>
              <w:rPr>
                <w:rFonts w:ascii="Arial" w:cs="Arial" w:eastAsia="Arial" w:hAnsi="Arial"/>
                <w:color w:val="333333"/>
                <w:sz w:val="19"/>
                <w:szCs w:val="19"/>
              </w:rPr>
              <w:t xml:space="preserve">A mentor, industry advisor, legal adviser, or financial adviser approved in writing by both Shareholders to receive equity from the Advisor Equity Pool under clause 5A.</w:t>
            </w:r>
          </w:p>
        </w:tc>
      </w:tr>
      <w:tr>
        <w:tc>
          <w:tcPr>
            <w:tcW w:type="dxa" w:w="2600"/>
            <w:tcBorders>
              <w:top w:val="single" w:color="E2E8F0" w:sz="1"/>
              <w:left w:val="none" w:color="FFFFFF" w:sz="0"/>
              <w:bottom w:val="single" w:color="E2E8F0" w:sz="1"/>
              <w:right w:val="none" w:color="FFFFFF" w:sz="0"/>
            </w:tcBorders>
            <w:tcMar>
              <w:top w:type="dxa" w:w="80"/>
              <w:left w:type="dxa" w:w="0"/>
              <w:bottom w:type="dxa" w:w="80"/>
              <w:right w:type="dxa" w:w="160"/>
            </w:tcMar>
          </w:tcPr>
          <w:p>
            <w:r>
              <w:rPr>
                <w:rFonts w:ascii="Arial" w:cs="Arial" w:eastAsia="Arial" w:hAnsi="Arial"/>
                <w:b/>
                <w:bCs/>
                <w:color w:val="0F2444"/>
                <w:sz w:val="19"/>
                <w:szCs w:val="19"/>
              </w:rPr>
              <w:t xml:space="preserve">"Business Day"</w:t>
            </w:r>
          </w:p>
        </w:tc>
        <w:tc>
          <w:tcPr>
            <w:tcW w:type="dxa" w:w="6426"/>
            <w:tcBorders>
              <w:top w:val="single" w:color="E2E8F0" w:sz="1"/>
              <w:left w:val="none" w:color="FFFFFF" w:sz="0"/>
              <w:bottom w:val="single" w:color="E2E8F0" w:sz="1"/>
              <w:right w:val="none" w:color="FFFFFF" w:sz="0"/>
            </w:tcBorders>
            <w:tcMar>
              <w:top w:type="dxa" w:w="80"/>
              <w:left w:type="dxa" w:w="160"/>
              <w:bottom w:type="dxa" w:w="80"/>
              <w:right w:type="dxa" w:w="0"/>
            </w:tcMar>
          </w:tcPr>
          <w:p>
            <w:r>
              <w:rPr>
                <w:rFonts w:ascii="Arial" w:cs="Arial" w:eastAsia="Arial" w:hAnsi="Arial"/>
                <w:color w:val="333333"/>
                <w:sz w:val="19"/>
                <w:szCs w:val="19"/>
              </w:rPr>
              <w:t xml:space="preserve">A day other than a Saturday, Sunday, or public holiday in England and Wales.</w:t>
            </w:r>
          </w:p>
        </w:tc>
      </w:tr>
      <w:tr>
        <w:tc>
          <w:tcPr>
            <w:tcW w:type="dxa" w:w="2600"/>
            <w:tcBorders>
              <w:top w:val="single" w:color="E2E8F0" w:sz="1"/>
              <w:left w:val="none" w:color="FFFFFF" w:sz="0"/>
              <w:bottom w:val="single" w:color="E2E8F0" w:sz="1"/>
              <w:right w:val="none" w:color="FFFFFF" w:sz="0"/>
            </w:tcBorders>
            <w:tcMar>
              <w:top w:type="dxa" w:w="80"/>
              <w:left w:type="dxa" w:w="0"/>
              <w:bottom w:type="dxa" w:w="80"/>
              <w:right w:type="dxa" w:w="160"/>
            </w:tcMar>
          </w:tcPr>
          <w:p>
            <w:r>
              <w:rPr>
                <w:rFonts w:ascii="Arial" w:cs="Arial" w:eastAsia="Arial" w:hAnsi="Arial"/>
                <w:b/>
                <w:bCs/>
                <w:color w:val="0F2444"/>
                <w:sz w:val="19"/>
                <w:szCs w:val="19"/>
              </w:rPr>
              <w:t xml:space="preserve">"Change of Control"</w:t>
            </w:r>
          </w:p>
        </w:tc>
        <w:tc>
          <w:tcPr>
            <w:tcW w:type="dxa" w:w="6426"/>
            <w:tcBorders>
              <w:top w:val="single" w:color="E2E8F0" w:sz="1"/>
              <w:left w:val="none" w:color="FFFFFF" w:sz="0"/>
              <w:bottom w:val="single" w:color="E2E8F0" w:sz="1"/>
              <w:right w:val="none" w:color="FFFFFF" w:sz="0"/>
            </w:tcBorders>
            <w:tcMar>
              <w:top w:type="dxa" w:w="80"/>
              <w:left w:type="dxa" w:w="160"/>
              <w:bottom w:type="dxa" w:w="80"/>
              <w:right w:type="dxa" w:w="0"/>
            </w:tcMar>
          </w:tcPr>
          <w:p>
            <w:r>
              <w:rPr>
                <w:rFonts w:ascii="Arial" w:cs="Arial" w:eastAsia="Arial" w:hAnsi="Arial"/>
                <w:color w:val="333333"/>
                <w:sz w:val="19"/>
                <w:szCs w:val="19"/>
              </w:rPr>
              <w:t xml:space="preserve">The acquisition by any person (or connected persons) of more than 50% of the voting shares of the Company, or a sale of all or substantially all of its assets, other than an internal restructuring approved in writing by both Shareholders.</w:t>
            </w:r>
          </w:p>
        </w:tc>
      </w:tr>
      <w:tr>
        <w:tc>
          <w:tcPr>
            <w:tcW w:type="dxa" w:w="2600"/>
            <w:tcBorders>
              <w:top w:val="single" w:color="E2E8F0" w:sz="1"/>
              <w:left w:val="none" w:color="FFFFFF" w:sz="0"/>
              <w:bottom w:val="single" w:color="E2E8F0" w:sz="1"/>
              <w:right w:val="none" w:color="FFFFFF" w:sz="0"/>
            </w:tcBorders>
            <w:tcMar>
              <w:top w:type="dxa" w:w="80"/>
              <w:left w:type="dxa" w:w="0"/>
              <w:bottom w:type="dxa" w:w="80"/>
              <w:right w:type="dxa" w:w="160"/>
            </w:tcMar>
          </w:tcPr>
          <w:p>
            <w:r>
              <w:rPr>
                <w:rFonts w:ascii="Arial" w:cs="Arial" w:eastAsia="Arial" w:hAnsi="Arial"/>
                <w:b/>
                <w:bCs/>
                <w:color w:val="0F2444"/>
                <w:sz w:val="19"/>
                <w:szCs w:val="19"/>
              </w:rPr>
              <w:t xml:space="preserve">"Completion Date"</w:t>
            </w:r>
          </w:p>
        </w:tc>
        <w:tc>
          <w:tcPr>
            <w:tcW w:type="dxa" w:w="6426"/>
            <w:tcBorders>
              <w:top w:val="single" w:color="E2E8F0" w:sz="1"/>
              <w:left w:val="none" w:color="FFFFFF" w:sz="0"/>
              <w:bottom w:val="single" w:color="E2E8F0" w:sz="1"/>
              <w:right w:val="none" w:color="FFFFFF" w:sz="0"/>
            </w:tcBorders>
            <w:tcMar>
              <w:top w:type="dxa" w:w="80"/>
              <w:left w:type="dxa" w:w="160"/>
              <w:bottom w:type="dxa" w:w="80"/>
              <w:right w:type="dxa" w:w="0"/>
            </w:tcMar>
          </w:tcPr>
          <w:p>
            <w:r>
              <w:rPr>
                <w:rFonts w:ascii="Arial" w:cs="Arial" w:eastAsia="Arial" w:hAnsi="Arial"/>
                <w:color w:val="333333"/>
                <w:sz w:val="19"/>
                <w:szCs w:val="19"/>
              </w:rPr>
              <w:t xml:space="preserve">The date on which all conditions precedent in clause 3 have been satisfied or waived, being the date from which the Sprint and invoicing commence.</w:t>
            </w:r>
          </w:p>
        </w:tc>
      </w:tr>
      <w:tr>
        <w:tc>
          <w:tcPr>
            <w:tcW w:type="dxa" w:w="2600"/>
            <w:tcBorders>
              <w:top w:val="single" w:color="E2E8F0" w:sz="1"/>
              <w:left w:val="none" w:color="FFFFFF" w:sz="0"/>
              <w:bottom w:val="single" w:color="E2E8F0" w:sz="1"/>
              <w:right w:val="none" w:color="FFFFFF" w:sz="0"/>
            </w:tcBorders>
            <w:tcMar>
              <w:top w:type="dxa" w:w="80"/>
              <w:left w:type="dxa" w:w="0"/>
              <w:bottom w:type="dxa" w:w="80"/>
              <w:right w:type="dxa" w:w="160"/>
            </w:tcMar>
          </w:tcPr>
          <w:p>
            <w:r>
              <w:rPr>
                <w:rFonts w:ascii="Arial" w:cs="Arial" w:eastAsia="Arial" w:hAnsi="Arial"/>
                <w:b/>
                <w:bCs/>
                <w:color w:val="0F2444"/>
                <w:sz w:val="19"/>
                <w:szCs w:val="19"/>
              </w:rPr>
              <w:t xml:space="preserve">"Equity Cap"</w:t>
            </w:r>
          </w:p>
        </w:tc>
        <w:tc>
          <w:tcPr>
            <w:tcW w:type="dxa" w:w="6426"/>
            <w:tcBorders>
              <w:top w:val="single" w:color="E2E8F0" w:sz="1"/>
              <w:left w:val="none" w:color="FFFFFF" w:sz="0"/>
              <w:bottom w:val="single" w:color="E2E8F0" w:sz="1"/>
              <w:right w:val="none" w:color="FFFFFF" w:sz="0"/>
            </w:tcBorders>
            <w:tcMar>
              <w:top w:type="dxa" w:w="80"/>
              <w:left w:type="dxa" w:w="160"/>
              <w:bottom w:type="dxa" w:w="80"/>
              <w:right w:type="dxa" w:w="0"/>
            </w:tcMar>
          </w:tcPr>
          <w:p>
            <w:r>
              <w:rPr>
                <w:rFonts w:ascii="Arial" w:cs="Arial" w:eastAsia="Arial" w:hAnsi="Arial"/>
                <w:color w:val="333333"/>
                <w:sz w:val="19"/>
                <w:szCs w:val="19"/>
              </w:rPr>
              <w:t xml:space="preserve">The maximum percentage of total issued ordinary share capital attributable to B+D under the applicable Investment Tier (Schedule 1). Once reached, all further invoice consideration is payable entirely in cash at the Founder cash % rate.</w:t>
            </w:r>
          </w:p>
        </w:tc>
      </w:tr>
      <w:tr>
        <w:tc>
          <w:tcPr>
            <w:tcW w:type="dxa" w:w="2600"/>
            <w:tcBorders>
              <w:top w:val="single" w:color="E2E8F0" w:sz="1"/>
              <w:left w:val="none" w:color="FFFFFF" w:sz="0"/>
              <w:bottom w:val="single" w:color="E2E8F0" w:sz="1"/>
              <w:right w:val="none" w:color="FFFFFF" w:sz="0"/>
            </w:tcBorders>
            <w:tcMar>
              <w:top w:type="dxa" w:w="80"/>
              <w:left w:type="dxa" w:w="0"/>
              <w:bottom w:type="dxa" w:w="80"/>
              <w:right w:type="dxa" w:w="160"/>
            </w:tcMar>
          </w:tcPr>
          <w:p>
            <w:r>
              <w:rPr>
                <w:rFonts w:ascii="Arial" w:cs="Arial" w:eastAsia="Arial" w:hAnsi="Arial"/>
                <w:b/>
                <w:bCs/>
                <w:color w:val="0F2444"/>
                <w:sz w:val="19"/>
                <w:szCs w:val="19"/>
              </w:rPr>
              <w:t xml:space="preserve">"Fair Market Value"</w:t>
            </w:r>
          </w:p>
        </w:tc>
        <w:tc>
          <w:tcPr>
            <w:tcW w:type="dxa" w:w="6426"/>
            <w:tcBorders>
              <w:top w:val="single" w:color="E2E8F0" w:sz="1"/>
              <w:left w:val="none" w:color="FFFFFF" w:sz="0"/>
              <w:bottom w:val="single" w:color="E2E8F0" w:sz="1"/>
              <w:right w:val="none" w:color="FFFFFF" w:sz="0"/>
            </w:tcBorders>
            <w:tcMar>
              <w:top w:type="dxa" w:w="80"/>
              <w:left w:type="dxa" w:w="160"/>
              <w:bottom w:type="dxa" w:w="80"/>
              <w:right w:type="dxa" w:w="0"/>
            </w:tcMar>
          </w:tcPr>
          <w:p>
            <w:r>
              <w:rPr>
                <w:rFonts w:ascii="Arial" w:cs="Arial" w:eastAsia="Arial" w:hAnsi="Arial"/>
                <w:color w:val="333333"/>
                <w:sz w:val="19"/>
                <w:szCs w:val="19"/>
              </w:rPr>
              <w:t xml:space="preserve">The price per share: (a) agreed in writing by both Shareholders; or (b) failing agreement within 20 Business Days of written request, as determined by an independent chartered accountant appointed by the President of the ICAEW, acting as expert (not arbitrator), whose determination is final and binding, with costs shared equally.</w:t>
            </w:r>
          </w:p>
        </w:tc>
      </w:tr>
      <w:tr>
        <w:tc>
          <w:tcPr>
            <w:tcW w:type="dxa" w:w="2600"/>
            <w:tcBorders>
              <w:top w:val="single" w:color="E2E8F0" w:sz="1"/>
              <w:left w:val="none" w:color="FFFFFF" w:sz="0"/>
              <w:bottom w:val="single" w:color="E2E8F0" w:sz="1"/>
              <w:right w:val="none" w:color="FFFFFF" w:sz="0"/>
            </w:tcBorders>
            <w:tcMar>
              <w:top w:type="dxa" w:w="80"/>
              <w:left w:type="dxa" w:w="0"/>
              <w:bottom w:type="dxa" w:w="80"/>
              <w:right w:type="dxa" w:w="160"/>
            </w:tcMar>
          </w:tcPr>
          <w:p>
            <w:r>
              <w:rPr>
                <w:rFonts w:ascii="Arial" w:cs="Arial" w:eastAsia="Arial" w:hAnsi="Arial"/>
                <w:b/>
                <w:bCs/>
                <w:color w:val="0F2444"/>
                <w:sz w:val="19"/>
                <w:szCs w:val="19"/>
              </w:rPr>
              <w:t xml:space="preserve">"Founder Exit"</w:t>
            </w:r>
          </w:p>
        </w:tc>
        <w:tc>
          <w:tcPr>
            <w:tcW w:type="dxa" w:w="6426"/>
            <w:tcBorders>
              <w:top w:val="single" w:color="E2E8F0" w:sz="1"/>
              <w:left w:val="none" w:color="FFFFFF" w:sz="0"/>
              <w:bottom w:val="single" w:color="E2E8F0" w:sz="1"/>
              <w:right w:val="none" w:color="FFFFFF" w:sz="0"/>
            </w:tcBorders>
            <w:tcMar>
              <w:top w:type="dxa" w:w="80"/>
              <w:left w:type="dxa" w:w="160"/>
              <w:bottom w:type="dxa" w:w="80"/>
              <w:right w:type="dxa" w:w="0"/>
            </w:tcMar>
          </w:tcPr>
          <w:p>
            <w:r>
              <w:rPr>
                <w:rFonts w:ascii="Arial" w:cs="Arial" w:eastAsia="Arial" w:hAnsi="Arial"/>
                <w:color w:val="333333"/>
                <w:sz w:val="19"/>
                <w:szCs w:val="19"/>
              </w:rPr>
              <w:t xml:space="preserve">Written notice served by the Founder under clause 16.2 to terminate participation in the Sprint at a month-end.</w:t>
            </w:r>
          </w:p>
        </w:tc>
      </w:tr>
      <w:tr>
        <w:tc>
          <w:tcPr>
            <w:tcW w:type="dxa" w:w="2600"/>
            <w:tcBorders>
              <w:top w:val="single" w:color="E2E8F0" w:sz="1"/>
              <w:left w:val="none" w:color="FFFFFF" w:sz="0"/>
              <w:bottom w:val="single" w:color="E2E8F0" w:sz="1"/>
              <w:right w:val="none" w:color="FFFFFF" w:sz="0"/>
            </w:tcBorders>
            <w:tcMar>
              <w:top w:type="dxa" w:w="80"/>
              <w:left w:type="dxa" w:w="0"/>
              <w:bottom w:type="dxa" w:w="80"/>
              <w:right w:type="dxa" w:w="160"/>
            </w:tcMar>
          </w:tcPr>
          <w:p>
            <w:r>
              <w:rPr>
                <w:rFonts w:ascii="Arial" w:cs="Arial" w:eastAsia="Arial" w:hAnsi="Arial"/>
                <w:b/>
                <w:bCs/>
                <w:color w:val="0F2444"/>
                <w:sz w:val="19"/>
                <w:szCs w:val="19"/>
              </w:rPr>
              <w:t xml:space="preserve">"Investment Tier"</w:t>
            </w:r>
          </w:p>
        </w:tc>
        <w:tc>
          <w:tcPr>
            <w:tcW w:type="dxa" w:w="6426"/>
            <w:tcBorders>
              <w:top w:val="single" w:color="E2E8F0" w:sz="1"/>
              <w:left w:val="none" w:color="FFFFFF" w:sz="0"/>
              <w:bottom w:val="single" w:color="E2E8F0" w:sz="1"/>
              <w:right w:val="none" w:color="FFFFFF" w:sz="0"/>
            </w:tcBorders>
            <w:tcMar>
              <w:top w:type="dxa" w:w="80"/>
              <w:left w:type="dxa" w:w="160"/>
              <w:bottom w:type="dxa" w:w="80"/>
              <w:right w:type="dxa" w:w="0"/>
            </w:tcMar>
          </w:tcPr>
          <w:p>
            <w:r>
              <w:rPr>
                <w:rFonts w:ascii="Arial" w:cs="Arial" w:eastAsia="Arial" w:hAnsi="Arial"/>
                <w:color w:val="333333"/>
                <w:sz w:val="19"/>
                <w:szCs w:val="19"/>
              </w:rPr>
              <w:t xml:space="preserve">The capital tier selected by the Founder per Schedule 1 (£50,000 / £75,000 / £120,000 / £175,000 / £250,000).</w:t>
            </w:r>
          </w:p>
        </w:tc>
      </w:tr>
      <w:tr>
        <w:tc>
          <w:tcPr>
            <w:tcW w:type="dxa" w:w="2600"/>
            <w:tcBorders>
              <w:top w:val="single" w:color="E2E8F0" w:sz="1"/>
              <w:left w:val="none" w:color="FFFFFF" w:sz="0"/>
              <w:bottom w:val="single" w:color="E2E8F0" w:sz="1"/>
              <w:right w:val="none" w:color="FFFFFF" w:sz="0"/>
            </w:tcBorders>
            <w:tcMar>
              <w:top w:type="dxa" w:w="80"/>
              <w:left w:type="dxa" w:w="0"/>
              <w:bottom w:type="dxa" w:w="80"/>
              <w:right w:type="dxa" w:w="160"/>
            </w:tcMar>
          </w:tcPr>
          <w:p>
            <w:r>
              <w:rPr>
                <w:rFonts w:ascii="Arial" w:cs="Arial" w:eastAsia="Arial" w:hAnsi="Arial"/>
                <w:b/>
                <w:bCs/>
                <w:color w:val="0F2444"/>
                <w:sz w:val="19"/>
                <w:szCs w:val="19"/>
              </w:rPr>
              <w:t xml:space="preserve">"IP"</w:t>
            </w:r>
          </w:p>
        </w:tc>
        <w:tc>
          <w:tcPr>
            <w:tcW w:type="dxa" w:w="6426"/>
            <w:tcBorders>
              <w:top w:val="single" w:color="E2E8F0" w:sz="1"/>
              <w:left w:val="none" w:color="FFFFFF" w:sz="0"/>
              <w:bottom w:val="single" w:color="E2E8F0" w:sz="1"/>
              <w:right w:val="none" w:color="FFFFFF" w:sz="0"/>
            </w:tcBorders>
            <w:tcMar>
              <w:top w:type="dxa" w:w="80"/>
              <w:left w:type="dxa" w:w="160"/>
              <w:bottom w:type="dxa" w:w="80"/>
              <w:right w:type="dxa" w:w="0"/>
            </w:tcMar>
          </w:tcPr>
          <w:p>
            <w:r>
              <w:rPr>
                <w:rFonts w:ascii="Arial" w:cs="Arial" w:eastAsia="Arial" w:hAnsi="Arial"/>
                <w:color w:val="333333"/>
                <w:sz w:val="19"/>
                <w:szCs w:val="19"/>
              </w:rPr>
              <w:t xml:space="preserve">All intellectual property rights including copyright, database rights, design rights, trade marks, patents, and know-how developed by or for the Company during the Sprint.</w:t>
            </w:r>
          </w:p>
        </w:tc>
      </w:tr>
      <w:tr>
        <w:tc>
          <w:tcPr>
            <w:tcW w:type="dxa" w:w="2600"/>
            <w:tcBorders>
              <w:top w:val="single" w:color="E2E8F0" w:sz="1"/>
              <w:left w:val="none" w:color="FFFFFF" w:sz="0"/>
              <w:bottom w:val="single" w:color="E2E8F0" w:sz="1"/>
              <w:right w:val="none" w:color="FFFFFF" w:sz="0"/>
            </w:tcBorders>
            <w:tcMar>
              <w:top w:type="dxa" w:w="80"/>
              <w:left w:type="dxa" w:w="0"/>
              <w:bottom w:type="dxa" w:w="80"/>
              <w:right w:type="dxa" w:w="160"/>
            </w:tcMar>
          </w:tcPr>
          <w:p>
            <w:r>
              <w:rPr>
                <w:rFonts w:ascii="Arial" w:cs="Arial" w:eastAsia="Arial" w:hAnsi="Arial"/>
                <w:b/>
                <w:bCs/>
                <w:color w:val="0F2444"/>
                <w:sz w:val="19"/>
                <w:szCs w:val="19"/>
              </w:rPr>
              <w:t xml:space="preserve">"Material Breach"</w:t>
            </w:r>
          </w:p>
        </w:tc>
        <w:tc>
          <w:tcPr>
            <w:tcW w:type="dxa" w:w="6426"/>
            <w:tcBorders>
              <w:top w:val="single" w:color="E2E8F0" w:sz="1"/>
              <w:left w:val="none" w:color="FFFFFF" w:sz="0"/>
              <w:bottom w:val="single" w:color="E2E8F0" w:sz="1"/>
              <w:right w:val="none" w:color="FFFFFF" w:sz="0"/>
            </w:tcBorders>
            <w:tcMar>
              <w:top w:type="dxa" w:w="80"/>
              <w:left w:type="dxa" w:w="160"/>
              <w:bottom w:type="dxa" w:w="80"/>
              <w:right w:type="dxa" w:w="0"/>
            </w:tcMar>
          </w:tcPr>
          <w:p>
            <w:r>
              <w:rPr>
                <w:rFonts w:ascii="Arial" w:cs="Arial" w:eastAsia="Arial" w:hAnsi="Arial"/>
                <w:color w:val="333333"/>
                <w:sz w:val="19"/>
                <w:szCs w:val="19"/>
              </w:rPr>
              <w:t xml:space="preserve">A breach of a core obligation including: (i) non-payment of the undisputed portion of a Monthly Invoice; (ii) unauthorised transfer of shares; (iii) breach of the IP assignment obligation; (iv) fraudulent misrepresentation; or (v) persistent failure by B+D to provide Services. Minor or inadvertent breaches promptly remedied on written notice do not constitute Material Breach.</w:t>
            </w:r>
          </w:p>
        </w:tc>
      </w:tr>
      <w:tr>
        <w:tc>
          <w:tcPr>
            <w:tcW w:type="dxa" w:w="2600"/>
            <w:tcBorders>
              <w:top w:val="single" w:color="E2E8F0" w:sz="1"/>
              <w:left w:val="none" w:color="FFFFFF" w:sz="0"/>
              <w:bottom w:val="single" w:color="E2E8F0" w:sz="1"/>
              <w:right w:val="none" w:color="FFFFFF" w:sz="0"/>
            </w:tcBorders>
            <w:tcMar>
              <w:top w:type="dxa" w:w="80"/>
              <w:left w:type="dxa" w:w="0"/>
              <w:bottom w:type="dxa" w:w="80"/>
              <w:right w:type="dxa" w:w="160"/>
            </w:tcMar>
          </w:tcPr>
          <w:p>
            <w:r>
              <w:rPr>
                <w:rFonts w:ascii="Arial" w:cs="Arial" w:eastAsia="Arial" w:hAnsi="Arial"/>
                <w:b/>
                <w:bCs/>
                <w:color w:val="0F2444"/>
                <w:sz w:val="19"/>
                <w:szCs w:val="19"/>
              </w:rPr>
              <w:t xml:space="preserve">"Monthly Invoice"</w:t>
            </w:r>
          </w:p>
        </w:tc>
        <w:tc>
          <w:tcPr>
            <w:tcW w:type="dxa" w:w="6426"/>
            <w:tcBorders>
              <w:top w:val="single" w:color="E2E8F0" w:sz="1"/>
              <w:left w:val="none" w:color="FFFFFF" w:sz="0"/>
              <w:bottom w:val="single" w:color="E2E8F0" w:sz="1"/>
              <w:right w:val="none" w:color="FFFFFF" w:sz="0"/>
            </w:tcBorders>
            <w:tcMar>
              <w:top w:type="dxa" w:w="80"/>
              <w:left w:type="dxa" w:w="160"/>
              <w:bottom w:type="dxa" w:w="80"/>
              <w:right w:type="dxa" w:w="0"/>
            </w:tcMar>
          </w:tcPr>
          <w:p>
            <w:r>
              <w:rPr>
                <w:rFonts w:ascii="Arial" w:cs="Arial" w:eastAsia="Arial" w:hAnsi="Arial"/>
                <w:color w:val="333333"/>
                <w:sz w:val="19"/>
                <w:szCs w:val="19"/>
              </w:rPr>
              <w:t xml:space="preserve">The invoice issued by Macaire to the Company each calendar month, specifying: team members; hours; blended rate; total amount; Founder cash portion; and B+D equity-consideration portion.</w:t>
            </w:r>
          </w:p>
        </w:tc>
      </w:tr>
      <w:tr>
        <w:tc>
          <w:tcPr>
            <w:tcW w:type="dxa" w:w="2600"/>
            <w:tcBorders>
              <w:top w:val="single" w:color="E2E8F0" w:sz="1"/>
              <w:left w:val="none" w:color="FFFFFF" w:sz="0"/>
              <w:bottom w:val="single" w:color="E2E8F0" w:sz="1"/>
              <w:right w:val="none" w:color="FFFFFF" w:sz="0"/>
            </w:tcBorders>
            <w:tcMar>
              <w:top w:type="dxa" w:w="80"/>
              <w:left w:type="dxa" w:w="0"/>
              <w:bottom w:type="dxa" w:w="80"/>
              <w:right w:type="dxa" w:w="160"/>
            </w:tcMar>
          </w:tcPr>
          <w:p>
            <w:r>
              <w:rPr>
                <w:rFonts w:ascii="Arial" w:cs="Arial" w:eastAsia="Arial" w:hAnsi="Arial"/>
                <w:b/>
                <w:bCs/>
                <w:color w:val="0F2444"/>
                <w:sz w:val="19"/>
                <w:szCs w:val="19"/>
              </w:rPr>
              <w:t xml:space="preserve">"SEIS"</w:t>
            </w:r>
          </w:p>
        </w:tc>
        <w:tc>
          <w:tcPr>
            <w:tcW w:type="dxa" w:w="6426"/>
            <w:tcBorders>
              <w:top w:val="single" w:color="E2E8F0" w:sz="1"/>
              <w:left w:val="none" w:color="FFFFFF" w:sz="0"/>
              <w:bottom w:val="single" w:color="E2E8F0" w:sz="1"/>
              <w:right w:val="none" w:color="FFFFFF" w:sz="0"/>
            </w:tcBorders>
            <w:tcMar>
              <w:top w:type="dxa" w:w="80"/>
              <w:left w:type="dxa" w:w="160"/>
              <w:bottom w:type="dxa" w:w="80"/>
              <w:right w:type="dxa" w:w="0"/>
            </w:tcMar>
          </w:tcPr>
          <w:p>
            <w:r>
              <w:rPr>
                <w:rFonts w:ascii="Arial" w:cs="Arial" w:eastAsia="Arial" w:hAnsi="Arial"/>
                <w:color w:val="333333"/>
                <w:sz w:val="19"/>
                <w:szCs w:val="19"/>
              </w:rPr>
              <w:t xml:space="preserve">The Seed Enterprise Investment Scheme under Part 5A of the Income Tax Act 2007.</w:t>
            </w:r>
          </w:p>
        </w:tc>
      </w:tr>
      <w:tr>
        <w:tc>
          <w:tcPr>
            <w:tcW w:type="dxa" w:w="2600"/>
            <w:tcBorders>
              <w:top w:val="single" w:color="E2E8F0" w:sz="1"/>
              <w:left w:val="none" w:color="FFFFFF" w:sz="0"/>
              <w:bottom w:val="single" w:color="E2E8F0" w:sz="1"/>
              <w:right w:val="none" w:color="FFFFFF" w:sz="0"/>
            </w:tcBorders>
            <w:tcMar>
              <w:top w:type="dxa" w:w="80"/>
              <w:left w:type="dxa" w:w="0"/>
              <w:bottom w:type="dxa" w:w="80"/>
              <w:right w:type="dxa" w:w="160"/>
            </w:tcMar>
          </w:tcPr>
          <w:p>
            <w:r>
              <w:rPr>
                <w:rFonts w:ascii="Arial" w:cs="Arial" w:eastAsia="Arial" w:hAnsi="Arial"/>
                <w:b/>
                <w:bCs/>
                <w:color w:val="0F2444"/>
                <w:sz w:val="19"/>
                <w:szCs w:val="19"/>
              </w:rPr>
              <w:t xml:space="preserve">"Sprint"</w:t>
            </w:r>
          </w:p>
        </w:tc>
        <w:tc>
          <w:tcPr>
            <w:tcW w:type="dxa" w:w="6426"/>
            <w:tcBorders>
              <w:top w:val="single" w:color="E2E8F0" w:sz="1"/>
              <w:left w:val="none" w:color="FFFFFF" w:sz="0"/>
              <w:bottom w:val="single" w:color="E2E8F0" w:sz="1"/>
              <w:right w:val="none" w:color="FFFFFF" w:sz="0"/>
            </w:tcBorders>
            <w:tcMar>
              <w:top w:type="dxa" w:w="80"/>
              <w:left w:type="dxa" w:w="160"/>
              <w:bottom w:type="dxa" w:w="80"/>
              <w:right w:type="dxa" w:w="0"/>
            </w:tcMar>
          </w:tcPr>
          <w:p>
            <w:r>
              <w:rPr>
                <w:rFonts w:ascii="Arial" w:cs="Arial" w:eastAsia="Arial" w:hAnsi="Arial"/>
                <w:color w:val="333333"/>
                <w:sz w:val="19"/>
                <w:szCs w:val="19"/>
              </w:rPr>
              <w:t xml:space="preserve">The period commencing on the Completion Date and ending on the last day of month [N] (where [N] = Sprint duration for the applicable tier per Schedule 1). Extendable only by written agreement signed by all parties.</w:t>
            </w:r>
          </w:p>
        </w:tc>
      </w:tr>
      <w:tr>
        <w:tc>
          <w:tcPr>
            <w:tcW w:type="dxa" w:w="2600"/>
            <w:tcBorders>
              <w:top w:val="single" w:color="E2E8F0" w:sz="1"/>
              <w:left w:val="none" w:color="FFFFFF" w:sz="0"/>
              <w:bottom w:val="single" w:color="E2E8F0" w:sz="1"/>
              <w:right w:val="none" w:color="FFFFFF" w:sz="0"/>
            </w:tcBorders>
            <w:tcMar>
              <w:top w:type="dxa" w:w="80"/>
              <w:left w:type="dxa" w:w="0"/>
              <w:bottom w:type="dxa" w:w="80"/>
              <w:right w:type="dxa" w:w="160"/>
            </w:tcMar>
          </w:tcPr>
          <w:p>
            <w:r>
              <w:rPr>
                <w:rFonts w:ascii="Arial" w:cs="Arial" w:eastAsia="Arial" w:hAnsi="Arial"/>
                <w:b/>
                <w:bCs/>
                <w:color w:val="0F2444"/>
                <w:sz w:val="19"/>
                <w:szCs w:val="19"/>
              </w:rPr>
              <w:t xml:space="preserve">"Team"</w:t>
            </w:r>
          </w:p>
        </w:tc>
        <w:tc>
          <w:tcPr>
            <w:tcW w:type="dxa" w:w="6426"/>
            <w:tcBorders>
              <w:top w:val="single" w:color="E2E8F0" w:sz="1"/>
              <w:left w:val="none" w:color="FFFFFF" w:sz="0"/>
              <w:bottom w:val="single" w:color="E2E8F0" w:sz="1"/>
              <w:right w:val="none" w:color="FFFFFF" w:sz="0"/>
            </w:tcBorders>
            <w:tcMar>
              <w:top w:type="dxa" w:w="80"/>
              <w:left w:type="dxa" w:w="160"/>
              <w:bottom w:type="dxa" w:w="80"/>
              <w:right w:type="dxa" w:w="0"/>
            </w:tcMar>
          </w:tcPr>
          <w:p>
            <w:r>
              <w:rPr>
                <w:rFonts w:ascii="Arial" w:cs="Arial" w:eastAsia="Arial" w:hAnsi="Arial"/>
                <w:color w:val="333333"/>
                <w:sz w:val="19"/>
                <w:szCs w:val="19"/>
              </w:rPr>
              <w:t xml:space="preserve">The B+D personnel deployed on the Company's Business as named in Schedule 4 (Key Personnel).</w:t>
            </w:r>
          </w:p>
        </w:tc>
      </w:tr>
      <w:tr>
        <w:tc>
          <w:tcPr>
            <w:tcW w:type="dxa" w:w="2600"/>
            <w:tcBorders>
              <w:top w:val="single" w:color="E2E8F0" w:sz="1"/>
              <w:left w:val="none" w:color="FFFFFF" w:sz="0"/>
              <w:bottom w:val="single" w:color="E2E8F0" w:sz="1"/>
              <w:right w:val="none" w:color="FFFFFF" w:sz="0"/>
            </w:tcBorders>
            <w:tcMar>
              <w:top w:type="dxa" w:w="80"/>
              <w:left w:type="dxa" w:w="0"/>
              <w:bottom w:type="dxa" w:w="80"/>
              <w:right w:type="dxa" w:w="160"/>
            </w:tcMar>
          </w:tcPr>
          <w:p>
            <w:r>
              <w:rPr>
                <w:rFonts w:ascii="Arial" w:cs="Arial" w:eastAsia="Arial" w:hAnsi="Arial"/>
                <w:b/>
                <w:bCs/>
                <w:color w:val="0F2444"/>
                <w:sz w:val="19"/>
                <w:szCs w:val="19"/>
              </w:rPr>
              <w:t xml:space="preserve">"Vesting Date"</w:t>
            </w:r>
          </w:p>
        </w:tc>
        <w:tc>
          <w:tcPr>
            <w:tcW w:type="dxa" w:w="6426"/>
            <w:tcBorders>
              <w:top w:val="single" w:color="E2E8F0" w:sz="1"/>
              <w:left w:val="none" w:color="FFFFFF" w:sz="0"/>
              <w:bottom w:val="single" w:color="E2E8F0" w:sz="1"/>
              <w:right w:val="none" w:color="FFFFFF" w:sz="0"/>
            </w:tcBorders>
            <w:tcMar>
              <w:top w:type="dxa" w:w="80"/>
              <w:left w:type="dxa" w:w="160"/>
              <w:bottom w:type="dxa" w:w="80"/>
              <w:right w:type="dxa" w:w="0"/>
            </w:tcMar>
          </w:tcPr>
          <w:p>
            <w:r>
              <w:rPr>
                <w:rFonts w:ascii="Arial" w:cs="Arial" w:eastAsia="Arial" w:hAnsi="Arial"/>
                <w:color w:val="333333"/>
                <w:sz w:val="19"/>
                <w:szCs w:val="19"/>
              </w:rPr>
              <w:t xml:space="preserve">The last Business Day of each calendar month of the Sprint, from Month 1 onwards.</w:t>
            </w:r>
          </w:p>
        </w:tc>
      </w:tr>
      <w:tr>
        <w:tc>
          <w:tcPr>
            <w:tcW w:type="dxa" w:w="2600"/>
            <w:tcBorders>
              <w:top w:val="single" w:color="E2E8F0" w:sz="1"/>
              <w:left w:val="none" w:color="FFFFFF" w:sz="0"/>
              <w:bottom w:val="single" w:color="E2E8F0" w:sz="1"/>
              <w:right w:val="none" w:color="FFFFFF" w:sz="0"/>
            </w:tcBorders>
            <w:tcMar>
              <w:top w:type="dxa" w:w="80"/>
              <w:left w:type="dxa" w:w="0"/>
              <w:bottom w:type="dxa" w:w="80"/>
              <w:right w:type="dxa" w:w="160"/>
            </w:tcMar>
          </w:tcPr>
          <w:p>
            <w:r>
              <w:rPr>
                <w:rFonts w:ascii="Arial" w:cs="Arial" w:eastAsia="Arial" w:hAnsi="Arial"/>
                <w:b/>
                <w:bCs/>
                <w:color w:val="0F2444"/>
                <w:sz w:val="19"/>
                <w:szCs w:val="19"/>
              </w:rPr>
              <w:t xml:space="preserve">"Vesting Tranche"</w:t>
            </w:r>
          </w:p>
        </w:tc>
        <w:tc>
          <w:tcPr>
            <w:tcW w:type="dxa" w:w="6426"/>
            <w:tcBorders>
              <w:top w:val="single" w:color="E2E8F0" w:sz="1"/>
              <w:left w:val="none" w:color="FFFFFF" w:sz="0"/>
              <w:bottom w:val="single" w:color="E2E8F0" w:sz="1"/>
              <w:right w:val="none" w:color="FFFFFF" w:sz="0"/>
            </w:tcBorders>
            <w:tcMar>
              <w:top w:type="dxa" w:w="80"/>
              <w:left w:type="dxa" w:w="160"/>
              <w:bottom w:type="dxa" w:w="80"/>
              <w:right w:type="dxa" w:w="0"/>
            </w:tcMar>
          </w:tcPr>
          <w:p>
            <w:r>
              <w:rPr>
                <w:rFonts w:ascii="Arial" w:cs="Arial" w:eastAsia="Arial" w:hAnsi="Arial"/>
                <w:color w:val="333333"/>
                <w:sz w:val="19"/>
                <w:szCs w:val="19"/>
              </w:rPr>
              <w:t xml:space="preserve">The number of Class B shares = (Equity Cap % x total issued shares) / total Sprint months. The last tranche is adjusted so total vested shares equal exactly the Equity Cap.</w:t>
            </w:r>
          </w:p>
        </w:tc>
      </w:tr>
      <w:tr>
        <w:tc>
          <w:tcPr>
            <w:tcW w:type="dxa" w:w="2600"/>
            <w:tcBorders>
              <w:top w:val="single" w:color="E2E8F0" w:sz="1"/>
              <w:left w:val="none" w:color="FFFFFF" w:sz="0"/>
              <w:bottom w:val="single" w:color="E2E8F0" w:sz="1"/>
              <w:right w:val="none" w:color="FFFFFF" w:sz="0"/>
            </w:tcBorders>
            <w:tcMar>
              <w:top w:type="dxa" w:w="80"/>
              <w:left w:type="dxa" w:w="0"/>
              <w:bottom w:type="dxa" w:w="80"/>
              <w:right w:type="dxa" w:w="160"/>
            </w:tcMar>
          </w:tcPr>
          <w:p>
            <w:r>
              <w:rPr>
                <w:rFonts w:ascii="Arial" w:cs="Arial" w:eastAsia="Arial" w:hAnsi="Arial"/>
                <w:b/>
                <w:bCs/>
                <w:color w:val="0F2444"/>
                <w:sz w:val="19"/>
                <w:szCs w:val="19"/>
              </w:rPr>
              <w:t xml:space="preserve">"Winding-Up Event"</w:t>
            </w:r>
          </w:p>
        </w:tc>
        <w:tc>
          <w:tcPr>
            <w:tcW w:type="dxa" w:w="6426"/>
            <w:tcBorders>
              <w:top w:val="single" w:color="E2E8F0" w:sz="1"/>
              <w:left w:val="none" w:color="FFFFFF" w:sz="0"/>
              <w:bottom w:val="single" w:color="E2E8F0" w:sz="1"/>
              <w:right w:val="none" w:color="FFFFFF" w:sz="0"/>
            </w:tcBorders>
            <w:tcMar>
              <w:top w:type="dxa" w:w="80"/>
              <w:left w:type="dxa" w:w="160"/>
              <w:bottom w:type="dxa" w:w="80"/>
              <w:right w:type="dxa" w:w="0"/>
            </w:tcMar>
          </w:tcPr>
          <w:p>
            <w:r>
              <w:rPr>
                <w:rFonts w:ascii="Arial" w:cs="Arial" w:eastAsia="Arial" w:hAnsi="Arial"/>
                <w:color w:val="333333"/>
                <w:sz w:val="19"/>
                <w:szCs w:val="19"/>
              </w:rPr>
              <w:t xml:space="preserve">A resolution or court order for the winding-up or dissolution of the Company.</w:t>
            </w:r>
          </w:p>
        </w:tc>
      </w:tr>
    </w:tbl>
    <w:p>
      <w:pPr>
        <w:pStyle w:val="Heading1"/>
        <w:spacing w:after="160" w:before="360"/>
      </w:pPr>
      <w:r>
        <w:rPr>
          <w:rFonts w:ascii="Arial" w:cs="Arial" w:eastAsia="Arial" w:hAnsi="Arial"/>
          <w:b/>
          <w:bCs/>
          <w:color w:val="0F2444"/>
          <w:sz w:val="28"/>
          <w:szCs w:val="28"/>
        </w:rPr>
        <w:t xml:space="preserve">5.  SHARE STRUCTURE</w:t>
      </w:r>
    </w:p>
    <w:p>
      <w:pPr>
        <w:spacing w:after="60" w:before="140"/>
      </w:pPr>
      <w:r>
        <w:rPr>
          <w:rFonts w:ascii="Arial" w:cs="Arial" w:eastAsia="Arial" w:hAnsi="Arial"/>
          <w:b/>
          <w:bCs/>
          <w:color w:val="0F2444"/>
          <w:sz w:val="20"/>
          <w:szCs w:val="20"/>
        </w:rPr>
        <w:t xml:space="preserve">5.1  Classes of Shares</w:t>
      </w:r>
    </w:p>
    <w:p>
      <w:pPr>
        <w:spacing w:after="100" w:before="40"/>
        <w:ind w:left="360"/>
      </w:pPr>
      <w:r>
        <w:rPr>
          <w:rFonts w:ascii="Arial" w:cs="Arial" w:eastAsia="Arial" w:hAnsi="Arial"/>
          <w:color w:val="333333"/>
          <w:sz w:val="20"/>
          <w:szCs w:val="20"/>
        </w:rPr>
        <w:t xml:space="preserve">On incorporation, the Company shall issue: (a) Class A Ordinary Shares to the Founder, representing the Founder's equity percentage per Schedule 1; and (b) Class B Ordinary Shares to B+D, representing the unvested pool up to the Equity Cap. Class B Shares vest into Class A Ordinary Shares on each Vesting Date per clause 6. Until vested, Class B Shares carry only a nominal right to a dividend of 0.001 pence per share per annum (payable only if declared), conferring substance as a valid share class under the Companies Act 2006.</w:t>
      </w:r>
    </w:p>
    <w:p>
      <w:pPr>
        <w:spacing w:after="60" w:before="140"/>
      </w:pPr>
      <w:r>
        <w:rPr>
          <w:rFonts w:ascii="Arial" w:cs="Arial" w:eastAsia="Arial" w:hAnsi="Arial"/>
          <w:b/>
          <w:bCs/>
          <w:color w:val="0F2444"/>
          <w:sz w:val="20"/>
          <w:szCs w:val="20"/>
        </w:rPr>
        <w:t xml:space="preserve">5.2  Voting Rights</w:t>
      </w:r>
    </w:p>
    <w:p>
      <w:pPr>
        <w:spacing w:after="100" w:before="40"/>
        <w:ind w:left="360"/>
      </w:pPr>
      <w:r>
        <w:rPr>
          <w:rFonts w:ascii="Arial" w:cs="Arial" w:eastAsia="Arial" w:hAnsi="Arial"/>
          <w:color w:val="333333"/>
          <w:sz w:val="20"/>
          <w:szCs w:val="20"/>
        </w:rPr>
        <w:t xml:space="preserve">Class A Ordinary Shares: one vote per share. Class B Ordinary Shares: no vote until vested. On vesting, each Class B Share converts to Class A with full voting rights.</w:t>
      </w:r>
    </w:p>
    <w:p>
      <w:pPr>
        <w:spacing w:after="60" w:before="140"/>
      </w:pPr>
      <w:r>
        <w:rPr>
          <w:rFonts w:ascii="Arial" w:cs="Arial" w:eastAsia="Arial" w:hAnsi="Arial"/>
          <w:b/>
          <w:bCs/>
          <w:color w:val="0F2444"/>
          <w:sz w:val="20"/>
          <w:szCs w:val="20"/>
        </w:rPr>
        <w:t xml:space="preserve">5.3  Allotment Authority and Pre-emption Disapplication</w:t>
      </w:r>
    </w:p>
    <w:p>
      <w:pPr>
        <w:spacing w:after="100" w:before="40"/>
        <w:ind w:left="360"/>
      </w:pPr>
      <w:r>
        <w:rPr>
          <w:rFonts w:ascii="Arial" w:cs="Arial" w:eastAsia="Arial" w:hAnsi="Arial"/>
          <w:color w:val="333333"/>
          <w:sz w:val="20"/>
          <w:szCs w:val="20"/>
        </w:rPr>
        <w:t xml:space="preserve">The Founder as sole director is authorised to allot Class B Shares on each Vesting Date per Schedule 2 and clause 6. The parties hereby disapply section 561 Companies Act 2006 pre-emption rights in relation to all Class B allotments under this Agreement. All necessary shareholder resolutions shall be passed at or before the Completion Date.</w:t>
      </w:r>
    </w:p>
    <w:p>
      <w:pPr>
        <w:spacing w:after="60" w:before="140"/>
      </w:pPr>
      <w:r>
        <w:rPr>
          <w:rFonts w:ascii="Arial" w:cs="Arial" w:eastAsia="Arial" w:hAnsi="Arial"/>
          <w:b/>
          <w:bCs/>
          <w:color w:val="0F2444"/>
          <w:sz w:val="20"/>
          <w:szCs w:val="20"/>
        </w:rPr>
        <w:t xml:space="preserve">5.4  SEIS Compliance</w:t>
      </w:r>
    </w:p>
    <w:p>
      <w:pPr>
        <w:spacing w:after="100" w:before="40"/>
        <w:ind w:left="360"/>
      </w:pPr>
      <w:r>
        <w:rPr>
          <w:rFonts w:ascii="Arial" w:cs="Arial" w:eastAsia="Arial" w:hAnsi="Arial"/>
          <w:color w:val="333333"/>
          <w:sz w:val="20"/>
          <w:szCs w:val="20"/>
        </w:rPr>
        <w:t xml:space="preserve">The share structure shall be designed with AGS Accountancy Ltd to ensure SEIS compliance and shall not cause the Founder's qualifying shareholding to exceed 30% (ITA 2007). SEIS Advance Assurance is a condition precedent per clause 3. Neither party shall take any action that would cause the Company to lose SEIS status without the other's prior written consent.</w:t>
      </w:r>
    </w:p>
    <w:p>
      <w:pPr>
        <w:spacing w:after="60" w:before="140"/>
      </w:pPr>
      <w:r>
        <w:rPr>
          <w:rFonts w:ascii="Arial" w:cs="Arial" w:eastAsia="Arial" w:hAnsi="Arial"/>
          <w:b/>
          <w:bCs/>
          <w:color w:val="0F2444"/>
          <w:sz w:val="20"/>
          <w:szCs w:val="20"/>
        </w:rPr>
        <w:t xml:space="preserve">5.5  Equity Cap Ceiling</w:t>
      </w:r>
    </w:p>
    <w:p>
      <w:pPr>
        <w:spacing w:after="100" w:before="40"/>
        <w:ind w:left="360"/>
      </w:pPr>
      <w:r>
        <w:rPr>
          <w:rFonts w:ascii="Arial" w:cs="Arial" w:eastAsia="Arial" w:hAnsi="Arial"/>
          <w:color w:val="333333"/>
          <w:sz w:val="20"/>
          <w:szCs w:val="20"/>
        </w:rPr>
        <w:t xml:space="preserve">Once Class B Shares allotted to B+D equal the Equity Cap, all further Monthly Invoice consideration is payable in cash at the Founder cash % rate. B+D shall give written notice when the Equity Cap will be reached within the next invoice cycle.</w:t>
      </w:r>
    </w:p>
    <w:p>
      <w:pPr>
        <w:spacing w:after="60" w:before="140"/>
      </w:pPr>
      <w:r>
        <w:rPr>
          <w:rFonts w:ascii="Arial" w:cs="Arial" w:eastAsia="Arial" w:hAnsi="Arial"/>
          <w:b/>
          <w:bCs/>
          <w:color w:val="0F2444"/>
          <w:sz w:val="20"/>
          <w:szCs w:val="20"/>
        </w:rPr>
        <w:t xml:space="preserve">5.6  Articles</w:t>
      </w:r>
    </w:p>
    <w:p>
      <w:pPr>
        <w:spacing w:after="100" w:before="40"/>
        <w:ind w:left="360"/>
      </w:pPr>
      <w:r>
        <w:rPr>
          <w:rFonts w:ascii="Arial" w:cs="Arial" w:eastAsia="Arial" w:hAnsi="Arial"/>
          <w:color w:val="333333"/>
          <w:sz w:val="20"/>
          <w:szCs w:val="20"/>
        </w:rPr>
        <w:t xml:space="preserve">The Articles shall: (a) reflect the rights attaching to Class A and Class B Shares as stated in this Agreement; and (b) not require a minimum of two directors. In case of conflict between this Agreement and the Articles, this Agreement shall prevail and the parties shall procure amendment of the Articles within 10 Business Days.</w:t>
      </w:r>
    </w:p>
    <w:p>
      <w:pPr>
        <w:pStyle w:val="Heading1"/>
        <w:spacing w:after="160" w:before="360"/>
      </w:pPr>
      <w:r>
        <w:rPr>
          <w:rFonts w:ascii="Arial" w:cs="Arial" w:eastAsia="Arial" w:hAnsi="Arial"/>
          <w:b/>
          <w:bCs/>
          <w:color w:val="0F2444"/>
          <w:sz w:val="28"/>
          <w:szCs w:val="28"/>
        </w:rPr>
        <w:t xml:space="preserve">5A.  ADVISOR EQUITY POOL</w:t>
      </w:r>
    </w:p>
    <w:p>
      <w:pPr>
        <w:spacing w:after="100" w:before="60"/>
      </w:pPr>
      <w:r>
        <w:rPr>
          <w:rFonts w:ascii="Arial" w:cs="Arial" w:eastAsia="Arial" w:hAnsi="Arial"/>
          <w:color w:val="333333"/>
          <w:sz w:val="20"/>
          <w:szCs w:val="20"/>
        </w:rPr>
        <w:t xml:space="preserve">5A.1  B+D may designate a portion of its own Equity Cap as an Advisor Equity Pool for the purpose of granting equity to mentors, industry advisors, legal advisers, and financial advisers appointed under this clause. All allocations from the Advisor Equity Pool reduce B+D's net equity entitlement only; the Founder's equity is unaffected.</w:t>
      </w:r>
    </w:p>
    <w:p>
      <w:pPr>
        <w:spacing w:after="40" w:before="40"/>
      </w:pPr>
    </w:p>
    <w:p>
      <w:pPr>
        <w:spacing w:after="60" w:before="140"/>
      </w:pPr>
      <w:r>
        <w:rPr>
          <w:rFonts w:ascii="Arial" w:cs="Arial" w:eastAsia="Arial" w:hAnsi="Arial"/>
          <w:b/>
          <w:bCs/>
          <w:color w:val="0F2444"/>
          <w:sz w:val="20"/>
          <w:szCs w:val="20"/>
        </w:rPr>
        <w:t xml:space="preserve">5A.2  Pool Size</w:t>
      </w:r>
    </w:p>
    <w:p>
      <w:pPr>
        <w:spacing w:after="100" w:before="40"/>
        <w:ind w:left="360"/>
      </w:pPr>
      <w:r>
        <w:rPr>
          <w:rFonts w:ascii="Arial" w:cs="Arial" w:eastAsia="Arial" w:hAnsi="Arial"/>
          <w:color w:val="333333"/>
          <w:sz w:val="20"/>
          <w:szCs w:val="20"/>
        </w:rPr>
        <w:t xml:space="preserve">The Advisor Equity Pool shall not exceed 10% of B+D's total Equity Cap percentage for the applicable Investment Tier. For example, on the £50k tier (25% Equity Cap), the pool ceiling is 2.5% (10% of 25%). The pool may be used to grant between 0.25% and 2.0% equity to any single Approved Advisor. B+D's net equity entitlement is reduced by the total amount allocated to Approved Advisors.</w:t>
      </w:r>
    </w:p>
    <w:p>
      <w:pPr>
        <w:spacing w:after="60" w:before="140"/>
      </w:pPr>
      <w:r>
        <w:rPr>
          <w:rFonts w:ascii="Arial" w:cs="Arial" w:eastAsia="Arial" w:hAnsi="Arial"/>
          <w:b/>
          <w:bCs/>
          <w:color w:val="0F2444"/>
          <w:sz w:val="20"/>
          <w:szCs w:val="20"/>
        </w:rPr>
        <w:t xml:space="preserve">5A.3  Source of Advisor Equity</w:t>
      </w:r>
    </w:p>
    <w:p>
      <w:pPr>
        <w:spacing w:after="100" w:before="40"/>
        <w:ind w:left="360"/>
      </w:pPr>
      <w:r>
        <w:rPr>
          <w:rFonts w:ascii="Arial" w:cs="Arial" w:eastAsia="Arial" w:hAnsi="Arial"/>
          <w:color w:val="333333"/>
          <w:sz w:val="20"/>
          <w:szCs w:val="20"/>
        </w:rPr>
        <w:t xml:space="preserve">All Advisor Equity allocations come entirely from B+D's Equity Cap. The Founder's equity is never diluted by advisor appointments under this clause. The total of (B+D vested equity + Advisor Equity Pool allocations) shall never exceed the Equity Cap.</w:t>
      </w:r>
    </w:p>
    <w:p>
      <w:pPr>
        <w:spacing w:after="60" w:before="140"/>
      </w:pPr>
      <w:r>
        <w:rPr>
          <w:rFonts w:ascii="Arial" w:cs="Arial" w:eastAsia="Arial" w:hAnsi="Arial"/>
          <w:b/>
          <w:bCs/>
          <w:color w:val="0F2444"/>
          <w:sz w:val="20"/>
          <w:szCs w:val="20"/>
        </w:rPr>
        <w:t xml:space="preserve">5A.4  Appointment Process — Mutual Consent Required</w:t>
      </w:r>
    </w:p>
    <w:p>
      <w:pPr>
        <w:spacing w:after="100" w:before="40"/>
        <w:ind w:left="360"/>
      </w:pPr>
      <w:r>
        <w:rPr>
          <w:rFonts w:ascii="Arial" w:cs="Arial" w:eastAsia="Arial" w:hAnsi="Arial"/>
          <w:color w:val="333333"/>
          <w:sz w:val="20"/>
          <w:szCs w:val="20"/>
        </w:rPr>
        <w:t xml:space="preserve">Either the Founder or B+D may propose an Approved Advisor at any time. However, no Approved Advisor appointment takes effect unless: (a) the proposing party provides the other with the proposed Advisor's name, professional background, proposed equity allocation (within the 0.25%–2.0% range), and proposed contribution; and (b) both Shareholders provide written consent within 20 Business Days of the proposal. If either party does not consent, the proposed advisor is not appointed and no equity is allocated. Consent shall not be unreasonably withheld or delayed, but either party may withhold consent for any reason relating to the proposed Advisor's reputation, conflict of interest, or suitability.</w:t>
      </w:r>
    </w:p>
    <w:p>
      <w:pPr>
        <w:spacing w:after="60" w:before="140"/>
      </w:pPr>
      <w:r>
        <w:rPr>
          <w:rFonts w:ascii="Arial" w:cs="Arial" w:eastAsia="Arial" w:hAnsi="Arial"/>
          <w:b/>
          <w:bCs/>
          <w:color w:val="0F2444"/>
          <w:sz w:val="20"/>
          <w:szCs w:val="20"/>
        </w:rPr>
        <w:t xml:space="preserve">5A.5  Advisor Agreement</w:t>
      </w:r>
    </w:p>
    <w:p>
      <w:pPr>
        <w:spacing w:after="100" w:before="40"/>
        <w:ind w:left="360"/>
      </w:pPr>
      <w:r>
        <w:rPr>
          <w:rFonts w:ascii="Arial" w:cs="Arial" w:eastAsia="Arial" w:hAnsi="Arial"/>
          <w:color w:val="333333"/>
          <w:sz w:val="20"/>
          <w:szCs w:val="20"/>
        </w:rPr>
        <w:t xml:space="preserve">Each Approved Advisor shall execute an Advisor Agreement in a form approved by both Shareholders before receiving any equity allocation. The Advisor Agreement shall set out at minimum: (a) the Advisor's obligations and expected contribution; (b) the equity percentage allocated (a sub-class of Class B Shares or a direct assignment from B+D's vested holding); (c) a vesting or cliff schedule (standard: 12-month cliff, then monthly over 12 months); (d) confidentiality obligations consistent with clause 13; (e) IP assignment consistent with clause 10; and (f) a bad leaver / lapse provision if the Advisor fails to fulfil their obligations.</w:t>
      </w:r>
    </w:p>
    <w:p>
      <w:pPr>
        <w:spacing w:after="60" w:before="140"/>
      </w:pPr>
      <w:r>
        <w:rPr>
          <w:rFonts w:ascii="Arial" w:cs="Arial" w:eastAsia="Arial" w:hAnsi="Arial"/>
          <w:b/>
          <w:bCs/>
          <w:color w:val="0F2444"/>
          <w:sz w:val="20"/>
          <w:szCs w:val="20"/>
        </w:rPr>
        <w:t xml:space="preserve">5A.6  Vesting of Advisor Equity</w:t>
      </w:r>
    </w:p>
    <w:p>
      <w:pPr>
        <w:spacing w:after="100" w:before="40"/>
        <w:ind w:left="360"/>
      </w:pPr>
      <w:r>
        <w:rPr>
          <w:rFonts w:ascii="Arial" w:cs="Arial" w:eastAsia="Arial" w:hAnsi="Arial"/>
          <w:color w:val="333333"/>
          <w:sz w:val="20"/>
          <w:szCs w:val="20"/>
        </w:rPr>
        <w:t xml:space="preserve">Advisor equity vesting schedules shall be agreed in each Advisor Agreement. Default vesting is: 12-month cliff (0% if engagement ends before month 12), then monthly over a further 12 months (total 24-month vest). Unvested advisor equity lapses on termination of the Advisor Agreement without compensation. B+D shall manage advisor equity allocations and provide the Founder with a written record of all allocations within 5 Business Days of each appointment.</w:t>
      </w:r>
    </w:p>
    <w:p>
      <w:pPr>
        <w:spacing w:after="60" w:before="140"/>
      </w:pPr>
      <w:r>
        <w:rPr>
          <w:rFonts w:ascii="Arial" w:cs="Arial" w:eastAsia="Arial" w:hAnsi="Arial"/>
          <w:b/>
          <w:bCs/>
          <w:color w:val="0F2444"/>
          <w:sz w:val="20"/>
          <w:szCs w:val="20"/>
        </w:rPr>
        <w:t xml:space="preserve">5A.7  B+D Bears the Dilution</w:t>
      </w:r>
    </w:p>
    <w:p>
      <w:pPr>
        <w:spacing w:after="100" w:before="40"/>
        <w:ind w:left="360"/>
      </w:pPr>
      <w:r>
        <w:rPr>
          <w:rFonts w:ascii="Arial" w:cs="Arial" w:eastAsia="Arial" w:hAnsi="Arial"/>
          <w:color w:val="333333"/>
          <w:sz w:val="20"/>
          <w:szCs w:val="20"/>
        </w:rPr>
        <w:t xml:space="preserve">The Founder hereby acknowledges and agrees that all Advisor Equity Pool allocations reduce B+D's net equity and not the Founder's equity. The Founder shall not raise any objection to the dilutive effect on B+D. B+D warrants that it will not misuse the Advisor Equity Pool to transfer equity to connected parties or related persons without full disclosure to the Founder.</w:t>
      </w:r>
    </w:p>
    <w:p>
      <w:pPr>
        <w:spacing w:after="60" w:before="140"/>
      </w:pPr>
      <w:r>
        <w:rPr>
          <w:rFonts w:ascii="Arial" w:cs="Arial" w:eastAsia="Arial" w:hAnsi="Arial"/>
          <w:b/>
          <w:bCs/>
          <w:color w:val="0F2444"/>
          <w:sz w:val="20"/>
          <w:szCs w:val="20"/>
        </w:rPr>
        <w:t xml:space="preserve">5A.8  Cap on Total Advisor Equity</w:t>
      </w:r>
    </w:p>
    <w:p>
      <w:pPr>
        <w:spacing w:after="100" w:before="40"/>
        <w:ind w:left="360"/>
      </w:pPr>
      <w:r>
        <w:rPr>
          <w:rFonts w:ascii="Arial" w:cs="Arial" w:eastAsia="Arial" w:hAnsi="Arial"/>
          <w:color w:val="333333"/>
          <w:sz w:val="20"/>
          <w:szCs w:val="20"/>
        </w:rPr>
        <w:t xml:space="preserve">At no point shall the aggregate equity held by all Approved Advisors across all appointments exceed the Advisor Equity Pool ceiling stated in clause 5A.2. B+D shall maintain a register of all advisor allocations and provide it to the Founder on request.</w:t>
      </w:r>
    </w:p>
    <w:p>
      <w:pPr>
        <w:spacing w:after="60" w:before="140"/>
      </w:pPr>
      <w:r>
        <w:rPr>
          <w:rFonts w:ascii="Arial" w:cs="Arial" w:eastAsia="Arial" w:hAnsi="Arial"/>
          <w:b/>
          <w:bCs/>
          <w:color w:val="0F2444"/>
          <w:sz w:val="20"/>
          <w:szCs w:val="20"/>
        </w:rPr>
        <w:t xml:space="preserve">5A.9  Advisor Confidentiality and Disclosure</w:t>
      </w:r>
    </w:p>
    <w:p>
      <w:pPr>
        <w:spacing w:after="100" w:before="40"/>
        <w:ind w:left="360"/>
      </w:pPr>
      <w:r>
        <w:rPr>
          <w:rFonts w:ascii="Arial" w:cs="Arial" w:eastAsia="Arial" w:hAnsi="Arial"/>
          <w:color w:val="333333"/>
          <w:sz w:val="20"/>
          <w:szCs w:val="20"/>
        </w:rPr>
        <w:t xml:space="preserve">B+D shall not disclose the identity or equity allocation of any Approved Advisor to any third party without the Founder's prior written consent, except where required by law or to the Advisor themselves for the purposes of executing the Advisor Agreement.</w:t>
      </w:r>
    </w:p>
    <w:p>
      <w:pPr>
        <w:pStyle w:val="Heading1"/>
        <w:spacing w:after="160" w:before="360"/>
      </w:pPr>
      <w:r>
        <w:rPr>
          <w:rFonts w:ascii="Arial" w:cs="Arial" w:eastAsia="Arial" w:hAnsi="Arial"/>
          <w:b/>
          <w:bCs/>
          <w:color w:val="0F2444"/>
          <w:sz w:val="28"/>
          <w:szCs w:val="28"/>
        </w:rPr>
        <w:t xml:space="preserve">6.  EQUITY VESTING</w:t>
      </w:r>
    </w:p>
    <w:p>
      <w:pPr>
        <w:spacing w:after="60" w:before="140"/>
      </w:pPr>
      <w:r>
        <w:rPr>
          <w:rFonts w:ascii="Arial" w:cs="Arial" w:eastAsia="Arial" w:hAnsi="Arial"/>
          <w:b/>
          <w:bCs/>
          <w:color w:val="0F2444"/>
          <w:sz w:val="20"/>
          <w:szCs w:val="20"/>
        </w:rPr>
        <w:t xml:space="preserve">6.1  Vesting Mechanism</w:t>
      </w:r>
    </w:p>
    <w:p>
      <w:pPr>
        <w:spacing w:after="100" w:before="40"/>
        <w:ind w:left="360"/>
      </w:pPr>
      <w:r>
        <w:rPr>
          <w:rFonts w:ascii="Arial" w:cs="Arial" w:eastAsia="Arial" w:hAnsi="Arial"/>
          <w:color w:val="333333"/>
          <w:sz w:val="20"/>
          <w:szCs w:val="20"/>
        </w:rPr>
        <w:t xml:space="preserve">B+D's Class B Shares vest in monthly tranches on each Vesting Date during the Sprint. Class B Shares that have not vested at the date of any exit or termination lapse and are cancelled with no entitlement to compensation, deferral, or conversion.</w:t>
      </w:r>
    </w:p>
    <w:p>
      <w:pPr>
        <w:spacing w:after="60" w:before="140"/>
      </w:pPr>
      <w:r>
        <w:rPr>
          <w:rFonts w:ascii="Arial" w:cs="Arial" w:eastAsia="Arial" w:hAnsi="Arial"/>
          <w:b/>
          <w:bCs/>
          <w:color w:val="0F2444"/>
          <w:sz w:val="20"/>
          <w:szCs w:val="20"/>
        </w:rPr>
        <w:t xml:space="preserve">6.2  Month 1: Probationary Period</w:t>
      </w:r>
    </w:p>
    <w:p>
      <w:pPr>
        <w:spacing w:after="100" w:before="40"/>
        <w:ind w:left="360"/>
      </w:pPr>
      <w:r>
        <w:rPr>
          <w:rFonts w:ascii="Arial" w:cs="Arial" w:eastAsia="Arial" w:hAnsi="Arial"/>
          <w:color w:val="333333"/>
          <w:sz w:val="20"/>
          <w:szCs w:val="20"/>
        </w:rPr>
        <w:t xml:space="preserve">Month 1 is a probationary period. If either party exits before the end of Month 1 (for any reason other than the other party's Material Breach), zero Class B Shares vest and the entire Class B pool is cancelled. If Month 1 is completed, the first Vesting Tranche vests on the last Business Day of Month 1.</w:t>
      </w:r>
    </w:p>
    <w:p>
      <w:pPr>
        <w:spacing w:after="60" w:before="140"/>
      </w:pPr>
      <w:r>
        <w:rPr>
          <w:rFonts w:ascii="Arial" w:cs="Arial" w:eastAsia="Arial" w:hAnsi="Arial"/>
          <w:b/>
          <w:bCs/>
          <w:color w:val="0F2444"/>
          <w:sz w:val="20"/>
          <w:szCs w:val="20"/>
        </w:rPr>
        <w:t xml:space="preserve">6.3  Monthly Vesting</w:t>
      </w:r>
    </w:p>
    <w:p>
      <w:pPr>
        <w:spacing w:after="100" w:before="40"/>
        <w:ind w:left="360"/>
      </w:pPr>
      <w:r>
        <w:rPr>
          <w:rFonts w:ascii="Arial" w:cs="Arial" w:eastAsia="Arial" w:hAnsi="Arial"/>
          <w:color w:val="333333"/>
          <w:sz w:val="20"/>
          <w:szCs w:val="20"/>
        </w:rPr>
        <w:t xml:space="preserve">Subject to clause 6.2, a Vesting Tranche vests on each Vesting Date. The total number of Vesting Tranches equals the total Sprint months (Schedule 2). Total Class B Shares capable of vesting shall not exceed the Equity Cap and shall not increase on Sprint extension.</w:t>
      </w:r>
    </w:p>
    <w:p>
      <w:pPr>
        <w:spacing w:after="60" w:before="140"/>
      </w:pPr>
      <w:r>
        <w:rPr>
          <w:rFonts w:ascii="Arial" w:cs="Arial" w:eastAsia="Arial" w:hAnsi="Arial"/>
          <w:b/>
          <w:bCs/>
          <w:color w:val="0F2444"/>
          <w:sz w:val="20"/>
          <w:szCs w:val="20"/>
        </w:rPr>
        <w:t xml:space="preserve">6.4  Founder Exit</w:t>
      </w:r>
    </w:p>
    <w:p>
      <w:pPr>
        <w:spacing w:after="100" w:before="40"/>
        <w:ind w:left="360"/>
      </w:pPr>
      <w:r>
        <w:rPr>
          <w:rFonts w:ascii="Arial" w:cs="Arial" w:eastAsia="Arial" w:hAnsi="Arial"/>
          <w:color w:val="333333"/>
          <w:sz w:val="20"/>
          <w:szCs w:val="20"/>
        </w:rPr>
        <w:t xml:space="preserve">The Founder may serve a Founder Exit notice at the end of any calendar month after Month 2, with not less than 10 Business Days' written notice before that month-end. On Founder Exit: (a) B+D retains all vested Tranches; (b) all unvested Class B Shares lapse and are cancelled; (c) no penalties or clawbacks; (d) Founder retains full ownership and all IP.</w:t>
      </w:r>
    </w:p>
    <w:p>
      <w:pPr>
        <w:spacing w:after="60" w:before="140"/>
      </w:pPr>
      <w:r>
        <w:rPr>
          <w:rFonts w:ascii="Arial" w:cs="Arial" w:eastAsia="Arial" w:hAnsi="Arial"/>
          <w:b/>
          <w:bCs/>
          <w:color w:val="0F2444"/>
          <w:sz w:val="20"/>
          <w:szCs w:val="20"/>
        </w:rPr>
        <w:t xml:space="preserve">6.5  Change of Control Acceleration</w:t>
      </w:r>
    </w:p>
    <w:p>
      <w:pPr>
        <w:spacing w:after="100" w:before="40"/>
        <w:ind w:left="360"/>
      </w:pPr>
      <w:r>
        <w:rPr>
          <w:rFonts w:ascii="Arial" w:cs="Arial" w:eastAsia="Arial" w:hAnsi="Arial"/>
          <w:color w:val="333333"/>
          <w:sz w:val="20"/>
          <w:szCs w:val="20"/>
        </w:rPr>
        <w:t xml:space="preserve">On a Change of Control, all unvested Class B Shares vest immediately. The Founder shall procure that any acquirer either: (i) assumes B+D's rights under this Agreement in writing on or before completion; or (ii) pays B+D the Fair Market Value of all unvested Class B Shares as a condition of completion.</w:t>
      </w:r>
    </w:p>
    <w:p>
      <w:pPr>
        <w:spacing w:after="60" w:before="140"/>
      </w:pPr>
      <w:r>
        <w:rPr>
          <w:rFonts w:ascii="Arial" w:cs="Arial" w:eastAsia="Arial" w:hAnsi="Arial"/>
          <w:b/>
          <w:bCs/>
          <w:color w:val="0F2444"/>
          <w:sz w:val="20"/>
          <w:szCs w:val="20"/>
        </w:rPr>
        <w:t xml:space="preserve">6.6  New Share Issuances</w:t>
      </w:r>
    </w:p>
    <w:p>
      <w:pPr>
        <w:spacing w:after="100" w:before="40"/>
        <w:ind w:left="360"/>
      </w:pPr>
      <w:r>
        <w:rPr>
          <w:rFonts w:ascii="Arial" w:cs="Arial" w:eastAsia="Arial" w:hAnsi="Arial"/>
          <w:color w:val="333333"/>
          <w:sz w:val="20"/>
          <w:szCs w:val="20"/>
        </w:rPr>
        <w:t xml:space="preserve">During the Sprint, the Company shall not allot or issue any shares, options, warrants, or convertible instruments without the prior written consent of both Shareholders (not to be unreasonably withheld or delayed), except as required for SEIS compliance or in an arm's-length funding round. Any permitted issuance dilutes both Shareholders pro-rata.</w:t>
      </w:r>
    </w:p>
    <w:p>
      <w:pPr>
        <w:pStyle w:val="Heading1"/>
        <w:spacing w:after="160" w:before="360"/>
      </w:pPr>
      <w:r>
        <w:rPr>
          <w:rFonts w:ascii="Arial" w:cs="Arial" w:eastAsia="Arial" w:hAnsi="Arial"/>
          <w:b/>
          <w:bCs/>
          <w:color w:val="0F2444"/>
          <w:sz w:val="28"/>
          <w:szCs w:val="28"/>
        </w:rPr>
        <w:t xml:space="preserve">7.  FOUNDER PROTECTIONS</w:t>
      </w:r>
    </w:p>
    <w:p>
      <w:pPr>
        <w:spacing w:after="100" w:before="60"/>
      </w:pPr>
      <w:r>
        <w:rPr>
          <w:rFonts w:ascii="Arial" w:cs="Arial" w:eastAsia="Arial" w:hAnsi="Arial"/>
          <w:color w:val="333333"/>
          <w:sz w:val="20"/>
          <w:szCs w:val="20"/>
        </w:rPr>
        <w:t xml:space="preserve">Each of the following protections is for the benefit of the Founder and may not be waived or varied without the Founder's prior written consent:</w:t>
      </w:r>
    </w:p>
    <w:p>
      <w:pPr>
        <w:spacing w:after="60" w:before="140"/>
      </w:pPr>
      <w:r>
        <w:rPr>
          <w:rFonts w:ascii="Arial" w:cs="Arial" w:eastAsia="Arial" w:hAnsi="Arial"/>
          <w:b/>
          <w:bCs/>
          <w:color w:val="0F2444"/>
          <w:sz w:val="20"/>
          <w:szCs w:val="20"/>
        </w:rPr>
        <w:t xml:space="preserve">7.1  Sole Director</w:t>
      </w:r>
    </w:p>
    <w:p>
      <w:pPr>
        <w:spacing w:after="100" w:before="40"/>
        <w:ind w:left="360"/>
      </w:pPr>
      <w:r>
        <w:rPr>
          <w:rFonts w:ascii="Arial" w:cs="Arial" w:eastAsia="Arial" w:hAnsi="Arial"/>
          <w:color w:val="333333"/>
          <w:sz w:val="20"/>
          <w:szCs w:val="20"/>
        </w:rPr>
        <w:t xml:space="preserve">The Founder is sole director and retains full operational control. B+D shall not appoint a director, shadow director, or exercise management authority.</w:t>
      </w:r>
    </w:p>
    <w:p>
      <w:pPr>
        <w:spacing w:after="60" w:before="140"/>
      </w:pPr>
      <w:r>
        <w:rPr>
          <w:rFonts w:ascii="Arial" w:cs="Arial" w:eastAsia="Arial" w:hAnsi="Arial"/>
          <w:b/>
          <w:bCs/>
          <w:color w:val="0F2444"/>
          <w:sz w:val="20"/>
          <w:szCs w:val="20"/>
        </w:rPr>
        <w:t xml:space="preserve">7.2  No B+D Veto</w:t>
      </w:r>
    </w:p>
    <w:p>
      <w:pPr>
        <w:spacing w:after="100" w:before="40"/>
        <w:ind w:left="360"/>
      </w:pPr>
      <w:r>
        <w:rPr>
          <w:rFonts w:ascii="Arial" w:cs="Arial" w:eastAsia="Arial" w:hAnsi="Arial"/>
          <w:color w:val="333333"/>
          <w:sz w:val="20"/>
          <w:szCs w:val="20"/>
        </w:rPr>
        <w:t xml:space="preserve">B+D holds no veto over any operational decision: product, hiring, pricing, contracts, or fundraising.</w:t>
      </w:r>
    </w:p>
    <w:p>
      <w:pPr>
        <w:spacing w:after="60" w:before="140"/>
      </w:pPr>
      <w:r>
        <w:rPr>
          <w:rFonts w:ascii="Arial" w:cs="Arial" w:eastAsia="Arial" w:hAnsi="Arial"/>
          <w:b/>
          <w:bCs/>
          <w:color w:val="0F2444"/>
          <w:sz w:val="20"/>
          <w:szCs w:val="20"/>
        </w:rPr>
        <w:t xml:space="preserve">7.3  Capital Account</w:t>
      </w:r>
    </w:p>
    <w:p>
      <w:pPr>
        <w:spacing w:after="100" w:before="40"/>
        <w:ind w:left="360"/>
      </w:pPr>
      <w:r>
        <w:rPr>
          <w:rFonts w:ascii="Arial" w:cs="Arial" w:eastAsia="Arial" w:hAnsi="Arial"/>
          <w:color w:val="333333"/>
          <w:sz w:val="20"/>
          <w:szCs w:val="20"/>
        </w:rPr>
        <w:t xml:space="preserve">The Founder is sole authorised signatory. No withdrawal or payment occurs without the Founder's written approval.</w:t>
      </w:r>
    </w:p>
    <w:p>
      <w:pPr>
        <w:spacing w:after="60" w:before="140"/>
      </w:pPr>
      <w:r>
        <w:rPr>
          <w:rFonts w:ascii="Arial" w:cs="Arial" w:eastAsia="Arial" w:hAnsi="Arial"/>
          <w:b/>
          <w:bCs/>
          <w:color w:val="0F2444"/>
          <w:sz w:val="20"/>
          <w:szCs w:val="20"/>
        </w:rPr>
        <w:t xml:space="preserve">7.4  Invoice Approval</w:t>
      </w:r>
    </w:p>
    <w:p>
      <w:pPr>
        <w:spacing w:after="100" w:before="40"/>
        <w:ind w:left="360"/>
      </w:pPr>
      <w:r>
        <w:rPr>
          <w:rFonts w:ascii="Arial" w:cs="Arial" w:eastAsia="Arial" w:hAnsi="Arial"/>
          <w:color w:val="333333"/>
          <w:sz w:val="20"/>
          <w:szCs w:val="20"/>
        </w:rPr>
        <w:t xml:space="preserve">No Monthly Invoice may be drawn without the Founder's prior written approval. The Founder has 10 Business Days from receipt to approve or raise a written dispute specifying grounds and quantum. If neither approved nor disputed within 10 Business Days, the invoice is deemed approved. The undisputed portion of any disputed invoice is payable within the standard payment period.</w:t>
      </w:r>
    </w:p>
    <w:p>
      <w:pPr>
        <w:spacing w:after="60" w:before="140"/>
      </w:pPr>
      <w:r>
        <w:rPr>
          <w:rFonts w:ascii="Arial" w:cs="Arial" w:eastAsia="Arial" w:hAnsi="Arial"/>
          <w:b/>
          <w:bCs/>
          <w:color w:val="0F2444"/>
          <w:sz w:val="20"/>
          <w:szCs w:val="20"/>
        </w:rPr>
        <w:t xml:space="preserve">7.5  IP on Exit</w:t>
      </w:r>
    </w:p>
    <w:p>
      <w:pPr>
        <w:spacing w:after="100" w:before="40"/>
        <w:ind w:left="360"/>
      </w:pPr>
      <w:r>
        <w:rPr>
          <w:rFonts w:ascii="Arial" w:cs="Arial" w:eastAsia="Arial" w:hAnsi="Arial"/>
          <w:color w:val="333333"/>
          <w:sz w:val="20"/>
          <w:szCs w:val="20"/>
        </w:rPr>
        <w:t xml:space="preserve">All IP assigned to the Company under clause 10 remains with the Company on Founder Exit. B+D holds no reversionary right.</w:t>
      </w:r>
    </w:p>
    <w:p>
      <w:pPr>
        <w:spacing w:after="60" w:before="140"/>
      </w:pPr>
      <w:r>
        <w:rPr>
          <w:rFonts w:ascii="Arial" w:cs="Arial" w:eastAsia="Arial" w:hAnsi="Arial"/>
          <w:b/>
          <w:bCs/>
          <w:color w:val="0F2444"/>
          <w:sz w:val="20"/>
          <w:szCs w:val="20"/>
        </w:rPr>
        <w:t xml:space="preserve">7.6  No Service Exclusivity</w:t>
      </w:r>
    </w:p>
    <w:p>
      <w:pPr>
        <w:spacing w:after="100" w:before="40"/>
        <w:ind w:left="360"/>
      </w:pPr>
      <w:r>
        <w:rPr>
          <w:rFonts w:ascii="Arial" w:cs="Arial" w:eastAsia="Arial" w:hAnsi="Arial"/>
          <w:color w:val="333333"/>
          <w:sz w:val="20"/>
          <w:szCs w:val="20"/>
        </w:rPr>
        <w:t xml:space="preserve">The Founder and Company may engage any third-party service providers at any time.</w:t>
      </w:r>
    </w:p>
    <w:p>
      <w:pPr>
        <w:spacing w:after="60" w:before="140"/>
      </w:pPr>
      <w:r>
        <w:rPr>
          <w:rFonts w:ascii="Arial" w:cs="Arial" w:eastAsia="Arial" w:hAnsi="Arial"/>
          <w:b/>
          <w:bCs/>
          <w:color w:val="0F2444"/>
          <w:sz w:val="20"/>
          <w:szCs w:val="20"/>
        </w:rPr>
        <w:t xml:space="preserve">7.7  Pro-Rata Dilution</w:t>
      </w:r>
    </w:p>
    <w:p>
      <w:pPr>
        <w:spacing w:after="100" w:before="40"/>
        <w:ind w:left="360"/>
      </w:pPr>
      <w:r>
        <w:rPr>
          <w:rFonts w:ascii="Arial" w:cs="Arial" w:eastAsia="Arial" w:hAnsi="Arial"/>
          <w:color w:val="333333"/>
          <w:sz w:val="20"/>
          <w:szCs w:val="20"/>
        </w:rPr>
        <w:t xml:space="preserve">B+D holds no anti-dilution rights. On any permitted share issuance, B+D's vested shareholding dilutes pro-rata. B+D has no pre-emption right to block or delay any funding round.</w:t>
      </w:r>
    </w:p>
    <w:p>
      <w:pPr>
        <w:spacing w:after="60" w:before="140"/>
      </w:pPr>
      <w:r>
        <w:rPr>
          <w:rFonts w:ascii="Arial" w:cs="Arial" w:eastAsia="Arial" w:hAnsi="Arial"/>
          <w:b/>
          <w:bCs/>
          <w:color w:val="0F2444"/>
          <w:sz w:val="20"/>
          <w:szCs w:val="20"/>
        </w:rPr>
        <w:t xml:space="preserve">7.8  Non-Competition by B+D</w:t>
      </w:r>
    </w:p>
    <w:p>
      <w:pPr>
        <w:spacing w:after="100" w:before="40"/>
        <w:ind w:left="360"/>
      </w:pPr>
      <w:r>
        <w:rPr>
          <w:rFonts w:ascii="Arial" w:cs="Arial" w:eastAsia="Arial" w:hAnsi="Arial"/>
          <w:color w:val="333333"/>
          <w:sz w:val="20"/>
          <w:szCs w:val="20"/>
        </w:rPr>
        <w:t xml:space="preserve">During the Sprint, B+D shall not provide materially similar services (technology build + growth co-founder programme) to any entity that directly competes with the Company's core business as described in the agreed Sprint brief.</w:t>
      </w:r>
    </w:p>
    <w:p>
      <w:pPr>
        <w:pStyle w:val="Heading1"/>
        <w:spacing w:after="160" w:before="360"/>
      </w:pPr>
      <w:r>
        <w:rPr>
          <w:rFonts w:ascii="Arial" w:cs="Arial" w:eastAsia="Arial" w:hAnsi="Arial"/>
          <w:b/>
          <w:bCs/>
          <w:color w:val="0F2444"/>
          <w:sz w:val="28"/>
          <w:szCs w:val="28"/>
        </w:rPr>
        <w:t xml:space="preserve">8.  B+D PROTECTIONS</w:t>
      </w:r>
    </w:p>
    <w:p>
      <w:pPr>
        <w:spacing w:after="100" w:before="60"/>
      </w:pPr>
      <w:r>
        <w:rPr>
          <w:rFonts w:ascii="Arial" w:cs="Arial" w:eastAsia="Arial" w:hAnsi="Arial"/>
          <w:color w:val="333333"/>
          <w:sz w:val="20"/>
          <w:szCs w:val="20"/>
        </w:rPr>
        <w:t xml:space="preserve">Each of the following protections is for the benefit of B+D and may not be waived or varied without B+D's prior written consent:</w:t>
      </w:r>
    </w:p>
    <w:p>
      <w:pPr>
        <w:spacing w:after="60" w:before="140"/>
      </w:pPr>
      <w:r>
        <w:rPr>
          <w:rFonts w:ascii="Arial" w:cs="Arial" w:eastAsia="Arial" w:hAnsi="Arial"/>
          <w:b/>
          <w:bCs/>
          <w:color w:val="0F2444"/>
          <w:sz w:val="20"/>
          <w:szCs w:val="20"/>
        </w:rPr>
        <w:t xml:space="preserve">8.1  Invoice Payment</w:t>
      </w:r>
    </w:p>
    <w:p>
      <w:pPr>
        <w:spacing w:after="100" w:before="40"/>
        <w:ind w:left="360"/>
      </w:pPr>
      <w:r>
        <w:rPr>
          <w:rFonts w:ascii="Arial" w:cs="Arial" w:eastAsia="Arial" w:hAnsi="Arial"/>
          <w:color w:val="333333"/>
          <w:sz w:val="20"/>
          <w:szCs w:val="20"/>
        </w:rPr>
        <w:t xml:space="preserve">The Company shall pay each approved (or deemed-approved) Monthly Invoice within 30 calendar days of approval. Late payment attracts interest at 8% above Bank of England base rate per annum, accruing daily (Late Payment of Commercial Debts (Interest) Act 1998).</w:t>
      </w:r>
    </w:p>
    <w:p>
      <w:pPr>
        <w:spacing w:after="60" w:before="140"/>
      </w:pPr>
      <w:r>
        <w:rPr>
          <w:rFonts w:ascii="Arial" w:cs="Arial" w:eastAsia="Arial" w:hAnsi="Arial"/>
          <w:b/>
          <w:bCs/>
          <w:color w:val="0F2444"/>
          <w:sz w:val="20"/>
          <w:szCs w:val="20"/>
        </w:rPr>
        <w:t xml:space="preserve">8.2  Dispute Process</w:t>
      </w:r>
    </w:p>
    <w:p>
      <w:pPr>
        <w:spacing w:after="100" w:before="40"/>
        <w:ind w:left="360"/>
      </w:pPr>
      <w:r>
        <w:rPr>
          <w:rFonts w:ascii="Arial" w:cs="Arial" w:eastAsia="Arial" w:hAnsi="Arial"/>
          <w:color w:val="333333"/>
          <w:sz w:val="20"/>
          <w:szCs w:val="20"/>
        </w:rPr>
        <w:t xml:space="preserve">If the Founder raises a valid dispute within the approval window, the parties shall meet within 5 Business Days. If unresolved after 10 Business Days, either party may refer the quantum to expert determination. During a dispute, the undisputed portion is payable within the standard period.</w:t>
      </w:r>
    </w:p>
    <w:p>
      <w:pPr>
        <w:spacing w:after="60" w:before="140"/>
      </w:pPr>
      <w:r>
        <w:rPr>
          <w:rFonts w:ascii="Arial" w:cs="Arial" w:eastAsia="Arial" w:hAnsi="Arial"/>
          <w:b/>
          <w:bCs/>
          <w:color w:val="0F2444"/>
          <w:sz w:val="20"/>
          <w:szCs w:val="20"/>
        </w:rPr>
        <w:t xml:space="preserve">8.3  Information Rights</w:t>
      </w:r>
    </w:p>
    <w:p>
      <w:pPr>
        <w:spacing w:after="100" w:before="40"/>
        <w:ind w:left="360"/>
      </w:pPr>
      <w:r>
        <w:rPr>
          <w:rFonts w:ascii="Arial" w:cs="Arial" w:eastAsia="Arial" w:hAnsi="Arial"/>
          <w:color w:val="333333"/>
          <w:sz w:val="20"/>
          <w:szCs w:val="20"/>
        </w:rPr>
        <w:t xml:space="preserve">The Company shall provide quarterly management accounts within 30 calendar days of each quarter-end for so long as B+D holds vested equity. B+D's information rights are those of a minority shareholder.</w:t>
      </w:r>
    </w:p>
    <w:p>
      <w:pPr>
        <w:spacing w:after="60" w:before="140"/>
      </w:pPr>
      <w:r>
        <w:rPr>
          <w:rFonts w:ascii="Arial" w:cs="Arial" w:eastAsia="Arial" w:hAnsi="Arial"/>
          <w:b/>
          <w:bCs/>
          <w:color w:val="0F2444"/>
          <w:sz w:val="20"/>
          <w:szCs w:val="20"/>
        </w:rPr>
        <w:t xml:space="preserve">8.4  Tag-Along</w:t>
      </w:r>
    </w:p>
    <w:p>
      <w:pPr>
        <w:spacing w:after="100" w:before="40"/>
        <w:ind w:left="360"/>
      </w:pPr>
      <w:r>
        <w:rPr>
          <w:rFonts w:ascii="Arial" w:cs="Arial" w:eastAsia="Arial" w:hAnsi="Arial"/>
          <w:color w:val="333333"/>
          <w:sz w:val="20"/>
          <w:szCs w:val="20"/>
        </w:rPr>
        <w:t xml:space="preserve">If the Founder proposes to transfer shares representing 50% or more of issued capital to any third party, B+D may (within 20 Business Days of written notice) require the Founder to procure that the third party also purchases B+D's vested shares at the same price per share and on the same terms.</w:t>
      </w:r>
    </w:p>
    <w:p>
      <w:pPr>
        <w:spacing w:after="60" w:before="140"/>
      </w:pPr>
      <w:r>
        <w:rPr>
          <w:rFonts w:ascii="Arial" w:cs="Arial" w:eastAsia="Arial" w:hAnsi="Arial"/>
          <w:b/>
          <w:bCs/>
          <w:color w:val="0F2444"/>
          <w:sz w:val="20"/>
          <w:szCs w:val="20"/>
        </w:rPr>
        <w:t xml:space="preserve">8.5  Pre-Emption on Founder Transfers</w:t>
      </w:r>
    </w:p>
    <w:p>
      <w:pPr>
        <w:spacing w:after="100" w:before="40"/>
        <w:ind w:left="360"/>
      </w:pPr>
      <w:r>
        <w:rPr>
          <w:rFonts w:ascii="Arial" w:cs="Arial" w:eastAsia="Arial" w:hAnsi="Arial"/>
          <w:color w:val="333333"/>
          <w:sz w:val="20"/>
          <w:szCs w:val="20"/>
        </w:rPr>
        <w:t xml:space="preserve">If the Founder proposes to transfer shares (other than in a funding round or tag-along), B+D has a right of first refusal at the proposed price, exercisable within 20 Business Days. If B+D does not respond, the Founder may complete the transfer at no better terms to the third party.</w:t>
      </w:r>
    </w:p>
    <w:p>
      <w:pPr>
        <w:spacing w:after="60" w:before="140"/>
      </w:pPr>
      <w:r>
        <w:rPr>
          <w:rFonts w:ascii="Arial" w:cs="Arial" w:eastAsia="Arial" w:hAnsi="Arial"/>
          <w:b/>
          <w:bCs/>
          <w:color w:val="0F2444"/>
          <w:sz w:val="20"/>
          <w:szCs w:val="20"/>
        </w:rPr>
        <w:t xml:space="preserve">8.6  Vested Equity Protection</w:t>
      </w:r>
    </w:p>
    <w:p>
      <w:pPr>
        <w:spacing w:after="100" w:before="40"/>
        <w:ind w:left="360"/>
      </w:pPr>
      <w:r>
        <w:rPr>
          <w:rFonts w:ascii="Arial" w:cs="Arial" w:eastAsia="Arial" w:hAnsi="Arial"/>
          <w:color w:val="333333"/>
          <w:sz w:val="20"/>
          <w:szCs w:val="20"/>
        </w:rPr>
        <w:t xml:space="preserve">Any purported cancellation, reduction, or buy-back of vested Class B Shares without B+D's written consent is void ab initio. B+D may seek specific performance and/or injunctive relief without proof of actual damage.</w:t>
      </w:r>
    </w:p>
    <w:p>
      <w:pPr>
        <w:spacing w:after="60" w:before="140"/>
      </w:pPr>
      <w:r>
        <w:rPr>
          <w:rFonts w:ascii="Arial" w:cs="Arial" w:eastAsia="Arial" w:hAnsi="Arial"/>
          <w:b/>
          <w:bCs/>
          <w:color w:val="0F2444"/>
          <w:sz w:val="20"/>
          <w:szCs w:val="20"/>
        </w:rPr>
        <w:t xml:space="preserve">8.7  Drag-Along</w:t>
      </w:r>
    </w:p>
    <w:p>
      <w:pPr>
        <w:spacing w:after="100" w:before="40"/>
        <w:ind w:left="360"/>
      </w:pPr>
      <w:r>
        <w:rPr>
          <w:rFonts w:ascii="Arial" w:cs="Arial" w:eastAsia="Arial" w:hAnsi="Arial"/>
          <w:color w:val="333333"/>
          <w:sz w:val="20"/>
          <w:szCs w:val="20"/>
        </w:rPr>
        <w:t xml:space="preserve">If the Founder receives a bona fide arm's-length offer to acquire 100% of the Company's issued share capital and wishes to accept it, the Founder may (on not less than 20 Business Days' written notice) require B+D to transfer all its vested shares to the acquirer at the same price per share and terms, provided the offer price per share is not less than Fair Market Value.</w:t>
      </w:r>
    </w:p>
    <w:p>
      <w:pPr>
        <w:pStyle w:val="Heading1"/>
        <w:spacing w:after="160" w:before="360"/>
      </w:pPr>
      <w:r>
        <w:rPr>
          <w:rFonts w:ascii="Arial" w:cs="Arial" w:eastAsia="Arial" w:hAnsi="Arial"/>
          <w:b/>
          <w:bCs/>
          <w:color w:val="0F2444"/>
          <w:sz w:val="28"/>
          <w:szCs w:val="28"/>
        </w:rPr>
        <w:t xml:space="preserve">9.  INVOICE MECHANISM</w:t>
      </w:r>
    </w:p>
    <w:p>
      <w:pPr>
        <w:spacing w:after="60" w:before="140"/>
      </w:pPr>
      <w:r>
        <w:rPr>
          <w:rFonts w:ascii="Arial" w:cs="Arial" w:eastAsia="Arial" w:hAnsi="Arial"/>
          <w:b/>
          <w:bCs/>
          <w:color w:val="0F2444"/>
          <w:sz w:val="20"/>
          <w:szCs w:val="20"/>
        </w:rPr>
        <w:t xml:space="preserve">9.1  Monthly Invoicing</w:t>
      </w:r>
    </w:p>
    <w:p>
      <w:pPr>
        <w:spacing w:after="100" w:before="40"/>
        <w:ind w:left="360"/>
      </w:pPr>
      <w:r>
        <w:rPr>
          <w:rFonts w:ascii="Arial" w:cs="Arial" w:eastAsia="Arial" w:hAnsi="Arial"/>
          <w:color w:val="333333"/>
          <w:sz w:val="20"/>
          <w:szCs w:val="20"/>
        </w:rPr>
        <w:t xml:space="preserve">Macaire Solutions Ltd shall invoice the Company monthly, specifying: (a) team members and hours; (b) blended hourly rate (£35/hr or as updated in writing); (c) total invoice amount; (d) Founder cash portion; (e) B+D equity-consideration portion.</w:t>
      </w:r>
    </w:p>
    <w:p>
      <w:pPr>
        <w:spacing w:after="60" w:before="140"/>
      </w:pPr>
      <w:r>
        <w:rPr>
          <w:rFonts w:ascii="Arial" w:cs="Arial" w:eastAsia="Arial" w:hAnsi="Arial"/>
          <w:b/>
          <w:bCs/>
          <w:color w:val="0F2444"/>
          <w:sz w:val="20"/>
          <w:szCs w:val="20"/>
        </w:rPr>
        <w:t xml:space="preserve">9.2  Invoice Split</w:t>
      </w:r>
    </w:p>
    <w:p>
      <w:pPr>
        <w:spacing w:after="100" w:before="40"/>
        <w:ind w:left="360"/>
      </w:pPr>
      <w:r>
        <w:rPr>
          <w:rFonts w:ascii="Arial" w:cs="Arial" w:eastAsia="Arial" w:hAnsi="Arial"/>
          <w:color w:val="333333"/>
          <w:sz w:val="20"/>
          <w:szCs w:val="20"/>
        </w:rPr>
        <w:t xml:space="preserve">The Founder pays the cash % per Schedule 1 from the Capital Account. The balance is B+D's equity consideration for that month.</w:t>
      </w:r>
    </w:p>
    <w:p>
      <w:pPr>
        <w:spacing w:after="60" w:before="140"/>
      </w:pPr>
      <w:r>
        <w:rPr>
          <w:rFonts w:ascii="Arial" w:cs="Arial" w:eastAsia="Arial" w:hAnsi="Arial"/>
          <w:b/>
          <w:bCs/>
          <w:color w:val="0F2444"/>
          <w:sz w:val="20"/>
          <w:szCs w:val="20"/>
        </w:rPr>
        <w:t xml:space="preserve">9.3  Nature of Equity Consideration</w:t>
      </w:r>
    </w:p>
    <w:p>
      <w:pPr>
        <w:spacing w:after="100" w:before="40"/>
        <w:ind w:left="360"/>
      </w:pPr>
      <w:r>
        <w:rPr>
          <w:rFonts w:ascii="Arial" w:cs="Arial" w:eastAsia="Arial" w:hAnsi="Arial"/>
          <w:color w:val="333333"/>
          <w:sz w:val="20"/>
          <w:szCs w:val="20"/>
        </w:rPr>
        <w:t xml:space="preserve">The equity-consideration portion of each Monthly Invoice represents a waiver by B+D of its right to receive cash payment for that amount. It is not a cash investment, loan, or financial instrument and creates no debt obligation on the Company or the Founder.</w:t>
      </w:r>
    </w:p>
    <w:p>
      <w:pPr>
        <w:spacing w:after="60" w:before="140"/>
      </w:pPr>
      <w:r>
        <w:rPr>
          <w:rFonts w:ascii="Arial" w:cs="Arial" w:eastAsia="Arial" w:hAnsi="Arial"/>
          <w:b/>
          <w:bCs/>
          <w:color w:val="0F2444"/>
          <w:sz w:val="20"/>
          <w:szCs w:val="20"/>
        </w:rPr>
        <w:t xml:space="preserve">9.4  Overhead and Additional Costs</w:t>
      </w:r>
    </w:p>
    <w:p>
      <w:pPr>
        <w:spacing w:after="100" w:before="40"/>
        <w:ind w:left="360"/>
      </w:pPr>
      <w:r>
        <w:rPr>
          <w:rFonts w:ascii="Arial" w:cs="Arial" w:eastAsia="Arial" w:hAnsi="Arial"/>
          <w:color w:val="333333"/>
          <w:sz w:val="20"/>
          <w:szCs w:val="20"/>
        </w:rPr>
        <w:t xml:space="preserve">The blended hourly rate comprises team salary and contractor costs plus a management overhead of 15%. The following items are not within the blended rate and shall be invoiced separately at cost, subject to the Founder's prior written approval in each case: (i) travel expenses; (ii) specialist third-party software licences; and (iii) external testing or quality assurance services. B+D shall provide a cost breakdown on written request (not more than once per quarter). The Founder shall hold such information in confidence.</w:t>
      </w:r>
    </w:p>
    <w:p>
      <w:pPr>
        <w:spacing w:after="60" w:before="140"/>
      </w:pPr>
      <w:r>
        <w:rPr>
          <w:rFonts w:ascii="Arial" w:cs="Arial" w:eastAsia="Arial" w:hAnsi="Arial"/>
          <w:b/>
          <w:bCs/>
          <w:color w:val="0F2444"/>
          <w:sz w:val="20"/>
          <w:szCs w:val="20"/>
        </w:rPr>
        <w:t xml:space="preserve">9.5  Tax</w:t>
      </w:r>
    </w:p>
    <w:p>
      <w:pPr>
        <w:spacing w:after="100" w:before="40"/>
        <w:ind w:left="360"/>
      </w:pPr>
      <w:r>
        <w:rPr>
          <w:rFonts w:ascii="Arial" w:cs="Arial" w:eastAsia="Arial" w:hAnsi="Arial"/>
          <w:color w:val="333333"/>
          <w:sz w:val="20"/>
          <w:szCs w:val="20"/>
        </w:rPr>
        <w:t xml:space="preserve">The parties shall obtain independent tax advice regarding VAT, corporation tax, and stamp duty treatment before invoicing commences. Each invoice shall separately identify the cash portion and the equity waiver portion.</w:t>
      </w:r>
    </w:p>
    <w:p>
      <w:pPr>
        <w:pStyle w:val="Heading1"/>
        <w:spacing w:after="160" w:before="360"/>
      </w:pPr>
      <w:r>
        <w:rPr>
          <w:rFonts w:ascii="Arial" w:cs="Arial" w:eastAsia="Arial" w:hAnsi="Arial"/>
          <w:b/>
          <w:bCs/>
          <w:color w:val="0F2444"/>
          <w:sz w:val="28"/>
          <w:szCs w:val="28"/>
        </w:rPr>
        <w:t xml:space="preserve">10.  INTELLECTUAL PROPERTY</w:t>
      </w:r>
    </w:p>
    <w:p>
      <w:pPr>
        <w:spacing w:after="60" w:before="140"/>
      </w:pPr>
      <w:r>
        <w:rPr>
          <w:rFonts w:ascii="Arial" w:cs="Arial" w:eastAsia="Arial" w:hAnsi="Arial"/>
          <w:b/>
          <w:bCs/>
          <w:color w:val="0F2444"/>
          <w:sz w:val="20"/>
          <w:szCs w:val="20"/>
        </w:rPr>
        <w:t xml:space="preserve">10.1  Assignment of Deliverables</w:t>
      </w:r>
    </w:p>
    <w:p>
      <w:pPr>
        <w:spacing w:after="100" w:before="40"/>
        <w:ind w:left="360"/>
      </w:pPr>
      <w:r>
        <w:rPr>
          <w:rFonts w:ascii="Arial" w:cs="Arial" w:eastAsia="Arial" w:hAnsi="Arial"/>
          <w:color w:val="333333"/>
          <w:sz w:val="20"/>
          <w:szCs w:val="20"/>
        </w:rPr>
        <w:t xml:space="preserve">All IP created by the Team in connection with the Company's Business from the Completion Date is assigned to the Company on creation with full title guarantee, free from encumbrances. This assignment is perpetual, irrevocable, and worldwide.</w:t>
      </w:r>
    </w:p>
    <w:p>
      <w:pPr>
        <w:spacing w:after="60" w:before="140"/>
      </w:pPr>
      <w:r>
        <w:rPr>
          <w:rFonts w:ascii="Arial" w:cs="Arial" w:eastAsia="Arial" w:hAnsi="Arial"/>
          <w:b/>
          <w:bCs/>
          <w:color w:val="0F2444"/>
          <w:sz w:val="20"/>
          <w:szCs w:val="20"/>
        </w:rPr>
        <w:t xml:space="preserve">10.2  Pre-Completion Deliverables</w:t>
      </w:r>
    </w:p>
    <w:p>
      <w:pPr>
        <w:spacing w:after="100" w:before="40"/>
        <w:ind w:left="360"/>
      </w:pPr>
      <w:r>
        <w:rPr>
          <w:rFonts w:ascii="Arial" w:cs="Arial" w:eastAsia="Arial" w:hAnsi="Arial"/>
          <w:color w:val="333333"/>
          <w:sz w:val="20"/>
          <w:szCs w:val="20"/>
        </w:rPr>
        <w:t xml:space="preserve">IP created by B+D prior to the Completion Date shall be assigned by an IP Assignment Deed executed as a condition precedent per clause 3.</w:t>
      </w:r>
    </w:p>
    <w:p>
      <w:pPr>
        <w:spacing w:after="60" w:before="140"/>
      </w:pPr>
      <w:r>
        <w:rPr>
          <w:rFonts w:ascii="Arial" w:cs="Arial" w:eastAsia="Arial" w:hAnsi="Arial"/>
          <w:b/>
          <w:bCs/>
          <w:color w:val="0F2444"/>
          <w:sz w:val="20"/>
          <w:szCs w:val="20"/>
        </w:rPr>
        <w:t xml:space="preserve">10.3  Background IP Licence</w:t>
      </w:r>
    </w:p>
    <w:p>
      <w:pPr>
        <w:spacing w:after="100" w:before="40"/>
        <w:ind w:left="360"/>
      </w:pPr>
      <w:r>
        <w:rPr>
          <w:rFonts w:ascii="Arial" w:cs="Arial" w:eastAsia="Arial" w:hAnsi="Arial"/>
          <w:color w:val="333333"/>
          <w:sz w:val="20"/>
          <w:szCs w:val="20"/>
        </w:rPr>
        <w:t xml:space="preserve">B+D retains ownership of Background IP. B+D grants the Company a perpetual, irrevocable, royalty-free, worldwide licence to use, reproduce, and modify Background IP solely for the purpose of operating the Company's Business. This licence is personal to the Company and may be transferred only to an acquirer of all or substantially all of the Company's business who has assumed B+D's obligations under this Agreement.</w:t>
      </w:r>
    </w:p>
    <w:p>
      <w:pPr>
        <w:spacing w:after="60" w:before="140"/>
      </w:pPr>
      <w:r>
        <w:rPr>
          <w:rFonts w:ascii="Arial" w:cs="Arial" w:eastAsia="Arial" w:hAnsi="Arial"/>
          <w:b/>
          <w:bCs/>
          <w:color w:val="0F2444"/>
          <w:sz w:val="20"/>
          <w:szCs w:val="20"/>
        </w:rPr>
        <w:t xml:space="preserve">10.4  B+D IP Warranty</w:t>
      </w:r>
    </w:p>
    <w:p>
      <w:pPr>
        <w:spacing w:after="100" w:before="40"/>
        <w:ind w:left="360"/>
      </w:pPr>
      <w:r>
        <w:rPr>
          <w:rFonts w:ascii="Arial" w:cs="Arial" w:eastAsia="Arial" w:hAnsi="Arial"/>
          <w:color w:val="333333"/>
          <w:sz w:val="20"/>
          <w:szCs w:val="20"/>
        </w:rPr>
        <w:t xml:space="preserve">B+D warrants that: (i) all deliverables are original works of B+D; (ii) their use by the Company will not infringe any third-party intellectual property rights; (iii) no third-party software is incorporated without a licence permitting the Company's use; (iv) B+D has full right to make this assignment.</w:t>
      </w:r>
    </w:p>
    <w:p>
      <w:pPr>
        <w:pStyle w:val="Heading1"/>
        <w:spacing w:after="160" w:before="360"/>
      </w:pPr>
      <w:r>
        <w:rPr>
          <w:rFonts w:ascii="Arial" w:cs="Arial" w:eastAsia="Arial" w:hAnsi="Arial"/>
          <w:b/>
          <w:bCs/>
          <w:color w:val="0F2444"/>
          <w:sz w:val="28"/>
          <w:szCs w:val="28"/>
        </w:rPr>
        <w:t xml:space="preserve">11.  DIRECTOR DUTIES AND BOARD OBSERVER</w:t>
      </w:r>
    </w:p>
    <w:p>
      <w:pPr>
        <w:spacing w:after="60" w:before="140"/>
      </w:pPr>
      <w:r>
        <w:rPr>
          <w:rFonts w:ascii="Arial" w:cs="Arial" w:eastAsia="Arial" w:hAnsi="Arial"/>
          <w:b/>
          <w:bCs/>
          <w:color w:val="0F2444"/>
          <w:sz w:val="20"/>
          <w:szCs w:val="20"/>
        </w:rPr>
        <w:t xml:space="preserve">11.1  Sole Director</w:t>
      </w:r>
    </w:p>
    <w:p>
      <w:pPr>
        <w:spacing w:after="100" w:before="40"/>
        <w:ind w:left="360"/>
      </w:pPr>
      <w:r>
        <w:rPr>
          <w:rFonts w:ascii="Arial" w:cs="Arial" w:eastAsia="Arial" w:hAnsi="Arial"/>
          <w:color w:val="333333"/>
          <w:sz w:val="20"/>
          <w:szCs w:val="20"/>
        </w:rPr>
        <w:t xml:space="preserve">The Founder is sole director and shall comply with director duties under the Companies Act 2006.</w:t>
      </w:r>
    </w:p>
    <w:p>
      <w:pPr>
        <w:spacing w:after="60" w:before="140"/>
      </w:pPr>
      <w:r>
        <w:rPr>
          <w:rFonts w:ascii="Arial" w:cs="Arial" w:eastAsia="Arial" w:hAnsi="Arial"/>
          <w:b/>
          <w:bCs/>
          <w:color w:val="0F2444"/>
          <w:sz w:val="20"/>
          <w:szCs w:val="20"/>
        </w:rPr>
        <w:t xml:space="preserve">11.2  B+D Observer</w:t>
      </w:r>
    </w:p>
    <w:p>
      <w:pPr>
        <w:spacing w:after="100" w:before="40"/>
        <w:ind w:left="360"/>
      </w:pPr>
      <w:r>
        <w:rPr>
          <w:rFonts w:ascii="Arial" w:cs="Arial" w:eastAsia="Arial" w:hAnsi="Arial"/>
          <w:color w:val="333333"/>
          <w:sz w:val="20"/>
          <w:szCs w:val="20"/>
        </w:rPr>
        <w:t xml:space="preserve">B+D may designate one named board observer. The observer has no vote and no authority to bind the Company. The observer shall execute a personal confidentiality undertaking in a form agreed between the parties before first attendance. The Founder may exclude the observer from any item where the Founder reasonably considers the observer to have a material conflict of interest.</w:t>
      </w:r>
    </w:p>
    <w:p>
      <w:pPr>
        <w:pStyle w:val="Heading1"/>
        <w:spacing w:after="160" w:before="360"/>
      </w:pPr>
      <w:r>
        <w:rPr>
          <w:rFonts w:ascii="Arial" w:cs="Arial" w:eastAsia="Arial" w:hAnsi="Arial"/>
          <w:b/>
          <w:bCs/>
          <w:color w:val="0F2444"/>
          <w:sz w:val="28"/>
          <w:szCs w:val="28"/>
        </w:rPr>
        <w:t xml:space="preserve">12.  KEY PERSONNEL</w:t>
      </w:r>
    </w:p>
    <w:p>
      <w:pPr>
        <w:spacing w:after="60" w:before="140"/>
      </w:pPr>
      <w:r>
        <w:rPr>
          <w:rFonts w:ascii="Arial" w:cs="Arial" w:eastAsia="Arial" w:hAnsi="Arial"/>
          <w:b/>
          <w:bCs/>
          <w:color w:val="0F2444"/>
          <w:sz w:val="20"/>
          <w:szCs w:val="20"/>
        </w:rPr>
        <w:t xml:space="preserve">12.1  Team Commitment</w:t>
      </w:r>
    </w:p>
    <w:p>
      <w:pPr>
        <w:spacing w:after="100" w:before="40"/>
        <w:ind w:left="360"/>
      </w:pPr>
      <w:r>
        <w:rPr>
          <w:rFonts w:ascii="Arial" w:cs="Arial" w:eastAsia="Arial" w:hAnsi="Arial"/>
          <w:color w:val="333333"/>
          <w:sz w:val="20"/>
          <w:szCs w:val="20"/>
        </w:rPr>
        <w:t xml:space="preserve">B+D shall procure that the individuals named in Schedule 4 dedicate not less than their stated minimum hours per week to the Business during the Sprint.</w:t>
      </w:r>
    </w:p>
    <w:p>
      <w:pPr>
        <w:spacing w:after="60" w:before="140"/>
      </w:pPr>
      <w:r>
        <w:rPr>
          <w:rFonts w:ascii="Arial" w:cs="Arial" w:eastAsia="Arial" w:hAnsi="Arial"/>
          <w:b/>
          <w:bCs/>
          <w:color w:val="0F2444"/>
          <w:sz w:val="20"/>
          <w:szCs w:val="20"/>
        </w:rPr>
        <w:t xml:space="preserve">12.2  Replacement</w:t>
      </w:r>
    </w:p>
    <w:p>
      <w:pPr>
        <w:spacing w:after="100" w:before="40"/>
        <w:ind w:left="360"/>
      </w:pPr>
      <w:r>
        <w:rPr>
          <w:rFonts w:ascii="Arial" w:cs="Arial" w:eastAsia="Arial" w:hAnsi="Arial"/>
          <w:color w:val="333333"/>
          <w:sz w:val="20"/>
          <w:szCs w:val="20"/>
        </w:rPr>
        <w:t xml:space="preserve">B+D shall notify the Founder within 5 Business Days of any Key Personnel departing or being replaced. The Founder may reasonably object to a proposed replacement within 10 Business Days. Failure to replace a Key Personnel member within 30 calendar days of departure entitles the Founder to withhold the proportion of the next Monthly Invoice attributable to the unfilled hours.</w:t>
      </w:r>
    </w:p>
    <w:p>
      <w:pPr>
        <w:pStyle w:val="Heading1"/>
        <w:spacing w:after="160" w:before="360"/>
      </w:pPr>
      <w:r>
        <w:rPr>
          <w:rFonts w:ascii="Arial" w:cs="Arial" w:eastAsia="Arial" w:hAnsi="Arial"/>
          <w:b/>
          <w:bCs/>
          <w:color w:val="0F2444"/>
          <w:sz w:val="28"/>
          <w:szCs w:val="28"/>
        </w:rPr>
        <w:t xml:space="preserve">13.  CONFIDENTIALITY</w:t>
      </w:r>
    </w:p>
    <w:p>
      <w:pPr>
        <w:spacing w:after="60" w:before="140"/>
      </w:pPr>
      <w:r>
        <w:rPr>
          <w:rFonts w:ascii="Arial" w:cs="Arial" w:eastAsia="Arial" w:hAnsi="Arial"/>
          <w:b/>
          <w:bCs/>
          <w:color w:val="0F2444"/>
          <w:sz w:val="20"/>
          <w:szCs w:val="20"/>
        </w:rPr>
        <w:t xml:space="preserve">13.1  Obligation</w:t>
      </w:r>
    </w:p>
    <w:p>
      <w:pPr>
        <w:spacing w:after="100" w:before="40"/>
        <w:ind w:left="360"/>
      </w:pPr>
      <w:r>
        <w:rPr>
          <w:rFonts w:ascii="Arial" w:cs="Arial" w:eastAsia="Arial" w:hAnsi="Arial"/>
          <w:color w:val="333333"/>
          <w:sz w:val="20"/>
          <w:szCs w:val="20"/>
        </w:rPr>
        <w:t xml:space="preserve">Each party shall keep confidential all non-public information about the other party and the Company.</w:t>
      </w:r>
    </w:p>
    <w:p>
      <w:pPr>
        <w:spacing w:after="60" w:before="140"/>
      </w:pPr>
      <w:r>
        <w:rPr>
          <w:rFonts w:ascii="Arial" w:cs="Arial" w:eastAsia="Arial" w:hAnsi="Arial"/>
          <w:b/>
          <w:bCs/>
          <w:color w:val="0F2444"/>
          <w:sz w:val="20"/>
          <w:szCs w:val="20"/>
        </w:rPr>
        <w:t xml:space="preserve">13.2  Exceptions</w:t>
      </w:r>
    </w:p>
    <w:p>
      <w:pPr>
        <w:spacing w:after="100" w:before="40"/>
        <w:ind w:left="360"/>
      </w:pPr>
      <w:r>
        <w:rPr>
          <w:rFonts w:ascii="Arial" w:cs="Arial" w:eastAsia="Arial" w:hAnsi="Arial"/>
          <w:color w:val="333333"/>
          <w:sz w:val="20"/>
          <w:szCs w:val="20"/>
        </w:rPr>
        <w:t xml:space="preserve">The obligation does not apply to information: (a) publicly known other than through breach of this clause; (b) already known to the receiving party without restriction; (c) required by law or court order (party shall give maximum prior notice and co-operate with any protective order); or (d) disclosed with written consent.</w:t>
      </w:r>
    </w:p>
    <w:p>
      <w:pPr>
        <w:spacing w:after="60" w:before="140"/>
      </w:pPr>
      <w:r>
        <w:rPr>
          <w:rFonts w:ascii="Arial" w:cs="Arial" w:eastAsia="Arial" w:hAnsi="Arial"/>
          <w:b/>
          <w:bCs/>
          <w:color w:val="0F2444"/>
          <w:sz w:val="20"/>
          <w:szCs w:val="20"/>
        </w:rPr>
        <w:t xml:space="preserve">13.3  Trade Secrets</w:t>
      </w:r>
    </w:p>
    <w:p>
      <w:pPr>
        <w:spacing w:after="100" w:before="40"/>
        <w:ind w:left="360"/>
      </w:pPr>
      <w:r>
        <w:rPr>
          <w:rFonts w:ascii="Arial" w:cs="Arial" w:eastAsia="Arial" w:hAnsi="Arial"/>
          <w:color w:val="333333"/>
          <w:sz w:val="20"/>
          <w:szCs w:val="20"/>
        </w:rPr>
        <w:t xml:space="preserve">Information constituting a trade secret under the Trade Secrets (Enforcement, etc.) Regulations 2018 remains confidential indefinitely, not subject to any time limit.</w:t>
      </w:r>
    </w:p>
    <w:p>
      <w:pPr>
        <w:pStyle w:val="Heading1"/>
        <w:spacing w:after="160" w:before="360"/>
      </w:pPr>
      <w:r>
        <w:rPr>
          <w:rFonts w:ascii="Arial" w:cs="Arial" w:eastAsia="Arial" w:hAnsi="Arial"/>
          <w:b/>
          <w:bCs/>
          <w:color w:val="0F2444"/>
          <w:sz w:val="28"/>
          <w:szCs w:val="28"/>
        </w:rPr>
        <w:t xml:space="preserve">14.  DATA PROTECTION</w:t>
      </w:r>
    </w:p>
    <w:p>
      <w:pPr>
        <w:spacing w:after="60" w:before="140"/>
      </w:pPr>
      <w:r>
        <w:rPr>
          <w:rFonts w:ascii="Arial" w:cs="Arial" w:eastAsia="Arial" w:hAnsi="Arial"/>
          <w:b/>
          <w:bCs/>
          <w:color w:val="0F2444"/>
          <w:sz w:val="20"/>
          <w:szCs w:val="20"/>
        </w:rPr>
        <w:t xml:space="preserve">14.1  UK GDPR</w:t>
      </w:r>
    </w:p>
    <w:p>
      <w:pPr>
        <w:spacing w:after="100" w:before="40"/>
        <w:ind w:left="360"/>
      </w:pPr>
      <w:r>
        <w:rPr>
          <w:rFonts w:ascii="Arial" w:cs="Arial" w:eastAsia="Arial" w:hAnsi="Arial"/>
          <w:color w:val="333333"/>
          <w:sz w:val="20"/>
          <w:szCs w:val="20"/>
        </w:rPr>
        <w:t xml:space="preserve">Each party shall comply with UK GDPR (Data Protection Act 2018) in connection with any personal data processed in relation to the Business.</w:t>
      </w:r>
    </w:p>
    <w:p>
      <w:pPr>
        <w:spacing w:after="60" w:before="140"/>
      </w:pPr>
      <w:r>
        <w:rPr>
          <w:rFonts w:ascii="Arial" w:cs="Arial" w:eastAsia="Arial" w:hAnsi="Arial"/>
          <w:b/>
          <w:bCs/>
          <w:color w:val="0F2444"/>
          <w:sz w:val="20"/>
          <w:szCs w:val="20"/>
        </w:rPr>
        <w:t xml:space="preserve">14.2  Data Processing Agreement</w:t>
      </w:r>
    </w:p>
    <w:p>
      <w:pPr>
        <w:spacing w:after="100" w:before="40"/>
        <w:ind w:left="360"/>
      </w:pPr>
      <w:r>
        <w:rPr>
          <w:rFonts w:ascii="Arial" w:cs="Arial" w:eastAsia="Arial" w:hAnsi="Arial"/>
          <w:color w:val="333333"/>
          <w:sz w:val="20"/>
          <w:szCs w:val="20"/>
        </w:rPr>
        <w:t xml:space="preserve">Where B+D processes personal data as a processor on behalf of the Company (as controller), the parties shall enter into a UK GDPR-compliant Data Processing Agreement (Article 28) at or before the Completion Date. This is a condition precedent to B+D accessing any personal data of the Company.</w:t>
      </w:r>
    </w:p>
    <w:p>
      <w:pPr>
        <w:pStyle w:val="Heading1"/>
        <w:spacing w:after="160" w:before="360"/>
      </w:pPr>
      <w:r>
        <w:rPr>
          <w:rFonts w:ascii="Arial" w:cs="Arial" w:eastAsia="Arial" w:hAnsi="Arial"/>
          <w:b/>
          <w:bCs/>
          <w:color w:val="0F2444"/>
          <w:sz w:val="28"/>
          <w:szCs w:val="28"/>
        </w:rPr>
        <w:t xml:space="preserve">15.  REPRESENTATIONS AND WARRANTIES</w:t>
      </w:r>
    </w:p>
    <w:p>
      <w:pPr>
        <w:pStyle w:val="Heading2"/>
        <w:spacing w:after="100" w:before="240"/>
      </w:pPr>
      <w:r>
        <w:rPr>
          <w:rFonts w:ascii="Arial" w:cs="Arial" w:eastAsia="Arial" w:hAnsi="Arial"/>
          <w:b/>
          <w:bCs/>
          <w:color w:val="0F2444"/>
          <w:sz w:val="22"/>
          <w:szCs w:val="22"/>
        </w:rPr>
        <w:t xml:space="preserve">15.1  Founder Warranties</w:t>
      </w:r>
    </w:p>
    <w:p>
      <w:pPr>
        <w:spacing w:after="100" w:before="60"/>
      </w:pPr>
      <w:r>
        <w:rPr>
          <w:rFonts w:ascii="Arial" w:cs="Arial" w:eastAsia="Arial" w:hAnsi="Arial"/>
          <w:color w:val="333333"/>
          <w:sz w:val="20"/>
          <w:szCs w:val="20"/>
        </w:rPr>
        <w:t xml:space="preserve">The Founder warrants that: (a) they have capacity to enter into and perform this Agreement; (b) invested capital is legally owned and free from encumbrances; (c) they have had opportunity for independent legal advice; (d) they are not subject to any restriction preventing participation; and (e) the capital derives from lawful sources (source of funds documentation per clause 3).</w:t>
      </w:r>
    </w:p>
    <w:p>
      <w:pPr>
        <w:pStyle w:val="Heading2"/>
        <w:spacing w:after="100" w:before="240"/>
      </w:pPr>
      <w:r>
        <w:rPr>
          <w:rFonts w:ascii="Arial" w:cs="Arial" w:eastAsia="Arial" w:hAnsi="Arial"/>
          <w:b/>
          <w:bCs/>
          <w:color w:val="0F2444"/>
          <w:sz w:val="22"/>
          <w:szCs w:val="22"/>
        </w:rPr>
        <w:t xml:space="preserve">15.2  B+D Warranties</w:t>
      </w:r>
    </w:p>
    <w:p>
      <w:pPr>
        <w:spacing w:after="100" w:before="60"/>
      </w:pPr>
      <w:r>
        <w:rPr>
          <w:rFonts w:ascii="Arial" w:cs="Arial" w:eastAsia="Arial" w:hAnsi="Arial"/>
          <w:color w:val="333333"/>
          <w:sz w:val="20"/>
          <w:szCs w:val="20"/>
        </w:rPr>
        <w:t xml:space="preserve">B+D warrants that: (a) Macaire Solutions Ltd is duly incorporated (CH: 15754659) with full authority; (b) the Team will provide Services with reasonable skill and care (Supply of Goods and Services Act 1982, s.13); (c) B+D holds professional indemnity insurance of not less than £[1,000,000] per claim and public liability of not less than £[2,000,000]; (d) B+D will not sub-contract the core Team without written Founder consent; (e) B+D's participation does not breach obligations to third parties; and (f) the IP warranties in clause 10.4 are true.</w:t>
      </w:r>
    </w:p>
    <w:p>
      <w:pPr>
        <w:pStyle w:val="Heading2"/>
        <w:spacing w:after="100" w:before="240"/>
      </w:pPr>
      <w:r>
        <w:rPr>
          <w:rFonts w:ascii="Arial" w:cs="Arial" w:eastAsia="Arial" w:hAnsi="Arial"/>
          <w:b/>
          <w:bCs/>
          <w:color w:val="0F2444"/>
          <w:sz w:val="22"/>
          <w:szCs w:val="22"/>
        </w:rPr>
        <w:t xml:space="preserve">15.3  Survival</w:t>
      </w:r>
    </w:p>
    <w:p>
      <w:pPr>
        <w:spacing w:after="100" w:before="60"/>
      </w:pPr>
      <w:r>
        <w:rPr>
          <w:rFonts w:ascii="Arial" w:cs="Arial" w:eastAsia="Arial" w:hAnsi="Arial"/>
          <w:color w:val="333333"/>
          <w:sz w:val="20"/>
          <w:szCs w:val="20"/>
        </w:rPr>
        <w:t xml:space="preserve">Warranties survive Completion and Founder Exit. Claims must be brought within 6 years of the relevant warranty date.</w:t>
      </w:r>
    </w:p>
    <w:p>
      <w:pPr>
        <w:pStyle w:val="Heading1"/>
        <w:spacing w:after="160" w:before="360"/>
      </w:pPr>
      <w:r>
        <w:rPr>
          <w:rFonts w:ascii="Arial" w:cs="Arial" w:eastAsia="Arial" w:hAnsi="Arial"/>
          <w:b/>
          <w:bCs/>
          <w:color w:val="0F2444"/>
          <w:sz w:val="28"/>
          <w:szCs w:val="28"/>
        </w:rPr>
        <w:t xml:space="preserve">16.  TRANSFER RESTRICTIONS AND EXIT</w:t>
      </w:r>
    </w:p>
    <w:p>
      <w:pPr>
        <w:spacing w:after="60" w:before="140"/>
      </w:pPr>
      <w:r>
        <w:rPr>
          <w:rFonts w:ascii="Arial" w:cs="Arial" w:eastAsia="Arial" w:hAnsi="Arial"/>
          <w:b/>
          <w:bCs/>
          <w:color w:val="0F2444"/>
          <w:sz w:val="20"/>
          <w:szCs w:val="20"/>
        </w:rPr>
        <w:t xml:space="preserve">16.1  Restriction During Sprint</w:t>
      </w:r>
    </w:p>
    <w:p>
      <w:pPr>
        <w:spacing w:after="100" w:before="40"/>
        <w:ind w:left="360"/>
      </w:pPr>
      <w:r>
        <w:rPr>
          <w:rFonts w:ascii="Arial" w:cs="Arial" w:eastAsia="Arial" w:hAnsi="Arial"/>
          <w:color w:val="333333"/>
          <w:sz w:val="20"/>
          <w:szCs w:val="20"/>
        </w:rPr>
        <w:t xml:space="preserve">During the Sprint, neither Shareholder may transfer shares without the other's prior written consent, except in a permitted funding round or pursuant to the tag-along right.</w:t>
      </w:r>
    </w:p>
    <w:p>
      <w:pPr>
        <w:spacing w:after="60" w:before="140"/>
      </w:pPr>
      <w:r>
        <w:rPr>
          <w:rFonts w:ascii="Arial" w:cs="Arial" w:eastAsia="Arial" w:hAnsi="Arial"/>
          <w:b/>
          <w:bCs/>
          <w:color w:val="0F2444"/>
          <w:sz w:val="20"/>
          <w:szCs w:val="20"/>
        </w:rPr>
        <w:t xml:space="preserve">16.2  Founder Exit</w:t>
      </w:r>
    </w:p>
    <w:p>
      <w:pPr>
        <w:spacing w:after="100" w:before="40"/>
        <w:ind w:left="360"/>
      </w:pPr>
      <w:r>
        <w:rPr>
          <w:rFonts w:ascii="Arial" w:cs="Arial" w:eastAsia="Arial" w:hAnsi="Arial"/>
          <w:color w:val="333333"/>
          <w:sz w:val="20"/>
          <w:szCs w:val="20"/>
        </w:rPr>
        <w:t xml:space="preserve">The Founder may serve a Founder Exit notice at the end of any calendar month after Month 2, with not less than 10 Business Days' written notice before that month-end, accompanied by payment of all outstanding undisputed Monthly Invoices to date.</w:t>
      </w:r>
    </w:p>
    <w:p>
      <w:pPr>
        <w:spacing w:after="60" w:before="140"/>
      </w:pPr>
      <w:r>
        <w:rPr>
          <w:rFonts w:ascii="Arial" w:cs="Arial" w:eastAsia="Arial" w:hAnsi="Arial"/>
          <w:b/>
          <w:bCs/>
          <w:color w:val="0F2444"/>
          <w:sz w:val="20"/>
          <w:szCs w:val="20"/>
        </w:rPr>
        <w:t xml:space="preserve">16.3  Good Leaver</w:t>
      </w:r>
    </w:p>
    <w:p>
      <w:pPr>
        <w:spacing w:after="100" w:before="40"/>
        <w:ind w:left="360"/>
      </w:pPr>
      <w:r>
        <w:rPr>
          <w:rFonts w:ascii="Arial" w:cs="Arial" w:eastAsia="Arial" w:hAnsi="Arial"/>
          <w:color w:val="333333"/>
          <w:sz w:val="20"/>
          <w:szCs w:val="20"/>
        </w:rPr>
        <w:t xml:space="preserve">Good Leaver = a Founder Exit occurring with proper notice after completion of Month 2. On Good Leaver Exit: B+D retains all vested Class B Shares; all unvested lapses with no compensation.</w:t>
      </w:r>
    </w:p>
    <w:p>
      <w:pPr>
        <w:spacing w:after="60" w:before="140"/>
      </w:pPr>
      <w:r>
        <w:rPr>
          <w:rFonts w:ascii="Arial" w:cs="Arial" w:eastAsia="Arial" w:hAnsi="Arial"/>
          <w:b/>
          <w:bCs/>
          <w:color w:val="0F2444"/>
          <w:sz w:val="20"/>
          <w:szCs w:val="20"/>
        </w:rPr>
        <w:t xml:space="preserve">16.4  Bad Leaver</w:t>
      </w:r>
    </w:p>
    <w:p>
      <w:pPr>
        <w:spacing w:after="100" w:before="40"/>
        <w:ind w:left="360"/>
      </w:pPr>
      <w:r>
        <w:rPr>
          <w:rFonts w:ascii="Arial" w:cs="Arial" w:eastAsia="Arial" w:hAnsi="Arial"/>
          <w:color w:val="333333"/>
          <w:sz w:val="20"/>
          <w:szCs w:val="20"/>
        </w:rPr>
        <w:t xml:space="preserve">Bad Leaver Event = a Material Breach by B+D not remedied within 30 calendar days of written notice specifying the breach. On a Bad Leaver Event: (a) all unvested Class B Shares lapse immediately; (b) B+D retains 50% of its vested Class B Shares as of the date the breach occurred; (c) the remaining 50% of vested Class B Shares are subject to compulsory transfer to the Founder at Fair Market Value within 30 Business Days of the Fair Market Value being determined. If the parties dispute whether a Bad Leaver Event has occurred, the matter is referred to dispute resolution per clause 19 (Dispute Resolution) before any compulsory transfer is effected.</w:t>
      </w:r>
    </w:p>
    <w:p>
      <w:pPr>
        <w:spacing w:after="60" w:before="140"/>
      </w:pPr>
      <w:r>
        <w:rPr>
          <w:rFonts w:ascii="Arial" w:cs="Arial" w:eastAsia="Arial" w:hAnsi="Arial"/>
          <w:b/>
          <w:bCs/>
          <w:color w:val="0F2444"/>
          <w:sz w:val="20"/>
          <w:szCs w:val="20"/>
        </w:rPr>
        <w:t xml:space="preserve">16.5  Winding-Up Distribution</w:t>
      </w:r>
    </w:p>
    <w:p>
      <w:pPr>
        <w:spacing w:after="100" w:before="40"/>
        <w:ind w:left="360"/>
      </w:pPr>
      <w:r>
        <w:rPr>
          <w:rFonts w:ascii="Arial" w:cs="Arial" w:eastAsia="Arial" w:hAnsi="Arial"/>
          <w:color w:val="333333"/>
          <w:sz w:val="20"/>
          <w:szCs w:val="20"/>
        </w:rPr>
        <w:t xml:space="preserve">On a Winding-Up Event, net assets (after creditors) are distributed: (i) first, to the Founder in return of the original invested capital as a preference; (ii) then, the balance pro-rata between Class A and vested Class B Shares. Unvested Class B Shares have no entitlement. This order shall be reflected in the Articles.</w:t>
      </w:r>
    </w:p>
    <w:p>
      <w:pPr>
        <w:spacing w:after="60" w:before="140"/>
      </w:pPr>
      <w:r>
        <w:rPr>
          <w:rFonts w:ascii="Arial" w:cs="Arial" w:eastAsia="Arial" w:hAnsi="Arial"/>
          <w:b/>
          <w:bCs/>
          <w:color w:val="0F2444"/>
          <w:sz w:val="20"/>
          <w:szCs w:val="20"/>
        </w:rPr>
        <w:t xml:space="preserve">16.6  Assignment of Agreement Rights</w:t>
      </w:r>
    </w:p>
    <w:p>
      <w:pPr>
        <w:spacing w:after="100" w:before="40"/>
        <w:ind w:left="360"/>
      </w:pPr>
      <w:r>
        <w:rPr>
          <w:rFonts w:ascii="Arial" w:cs="Arial" w:eastAsia="Arial" w:hAnsi="Arial"/>
          <w:color w:val="333333"/>
          <w:sz w:val="20"/>
          <w:szCs w:val="20"/>
        </w:rPr>
        <w:t xml:space="preserve">Neither party may assign rights or obligations under this Agreement without the other's prior written consent, except: (a) B+D may assign the right to receive Class B Shares to a wholly-owned subsidiary of Macaire on 5 Business Days' notice; (b) the Founder may transfer rights to a wholly-owned holding company, subject to that company executing a deed of adherence in approved form.</w:t>
      </w:r>
    </w:p>
    <w:p>
      <w:pPr>
        <w:pStyle w:val="Heading1"/>
        <w:spacing w:after="160" w:before="360"/>
      </w:pPr>
      <w:r>
        <w:rPr>
          <w:rFonts w:ascii="Arial" w:cs="Arial" w:eastAsia="Arial" w:hAnsi="Arial"/>
          <w:b/>
          <w:bCs/>
          <w:color w:val="0F2444"/>
          <w:sz w:val="28"/>
          <w:szCs w:val="28"/>
        </w:rPr>
        <w:t xml:space="preserve">17.  FOUNDER INDEMNITY AND B+D LEGAL PROTECTION</w:t>
      </w:r>
    </w:p>
    <w:p>
      <w:pPr>
        <w:spacing w:after="100" w:before="60"/>
      </w:pPr>
      <w:r>
        <w:rPr>
          <w:rFonts w:ascii="Arial" w:cs="Arial" w:eastAsia="Arial" w:hAnsi="Arial"/>
          <w:color w:val="333333"/>
          <w:sz w:val="20"/>
          <w:szCs w:val="20"/>
        </w:rPr>
        <w:t xml:space="preserve">B+D provides services to multiple independently incorporated companies. Nothing in this Agreement creates joint and several liability between B+D and any Founder, or between any two companies in which B+D holds a programme equity stake.</w:t>
      </w:r>
    </w:p>
    <w:p>
      <w:pPr>
        <w:spacing w:after="40" w:before="40"/>
      </w:pPr>
    </w:p>
    <w:p>
      <w:pPr>
        <w:spacing w:after="60" w:before="140"/>
      </w:pPr>
      <w:r>
        <w:rPr>
          <w:rFonts w:ascii="Arial" w:cs="Arial" w:eastAsia="Arial" w:hAnsi="Arial"/>
          <w:b/>
          <w:bCs/>
          <w:color w:val="0F2444"/>
          <w:sz w:val="20"/>
          <w:szCs w:val="20"/>
        </w:rPr>
        <w:t xml:space="preserve">16.7  B+D Entity Continuity</w:t>
      </w:r>
    </w:p>
    <w:p>
      <w:pPr>
        <w:spacing w:after="100" w:before="40"/>
        <w:ind w:left="360"/>
      </w:pPr>
      <w:r>
        <w:rPr>
          <w:rFonts w:ascii="Arial" w:cs="Arial" w:eastAsia="Arial" w:hAnsi="Arial"/>
          <w:color w:val="333333"/>
          <w:sz w:val="20"/>
          <w:szCs w:val="20"/>
        </w:rPr>
        <w:t xml:space="preserve">If Macaire Solutions Ltd changes its registered name, converts to a different company structure, or is reconstituted (including by a transfer of business to a successor entity), the defined term 'B+D' shall automatically update to refer to the renamed or successor entity, provided B+D gives the Founder written notice within 10 Business Days of such change. Macaire shall procure that any renamed or reconstituted entity executes a deed of confirmation of all obligations under this Agreement within 20 Business Days of the change.</w:t>
      </w:r>
    </w:p>
    <w:p>
      <w:pPr>
        <w:spacing w:after="40" w:before="40"/>
      </w:pPr>
    </w:p>
    <w:p>
      <w:pPr>
        <w:spacing w:after="60" w:before="140"/>
      </w:pPr>
      <w:r>
        <w:rPr>
          <w:rFonts w:ascii="Arial" w:cs="Arial" w:eastAsia="Arial" w:hAnsi="Arial"/>
          <w:b/>
          <w:bCs/>
          <w:color w:val="0F2444"/>
          <w:sz w:val="20"/>
          <w:szCs w:val="20"/>
        </w:rPr>
        <w:t xml:space="preserve">17.1  Founder as Sole Director — Full Legal Responsibility</w:t>
      </w:r>
    </w:p>
    <w:p>
      <w:pPr>
        <w:spacing w:after="100" w:before="40"/>
        <w:ind w:left="360"/>
      </w:pPr>
      <w:r>
        <w:rPr>
          <w:rFonts w:ascii="Arial" w:cs="Arial" w:eastAsia="Arial" w:hAnsi="Arial"/>
          <w:color w:val="333333"/>
          <w:sz w:val="20"/>
          <w:szCs w:val="20"/>
        </w:rPr>
        <w:t xml:space="preserve">The Founder, as sole director and controlling shareholder, accepts sole and full legal and regulatory responsibility for: (a) all acts and omissions of the Company; (b) all debts, liabilities, and obligations incurred by the Company; (c) compliance with all applicable law (including the Companies Act 2006, HMRC obligations, employment law, data protection law, and consumer law); (d) all decisions made in the operation of the Business; and (e) the conduct and affairs of the Company from the Completion Date.</w:t>
      </w:r>
    </w:p>
    <w:p>
      <w:pPr>
        <w:spacing w:after="60" w:before="140"/>
      </w:pPr>
      <w:r>
        <w:rPr>
          <w:rFonts w:ascii="Arial" w:cs="Arial" w:eastAsia="Arial" w:hAnsi="Arial"/>
          <w:b/>
          <w:bCs/>
          <w:color w:val="0F2444"/>
          <w:sz w:val="20"/>
          <w:szCs w:val="20"/>
        </w:rPr>
        <w:t xml:space="preserve">17.2  B+D is Not a Shadow Director or Officer</w:t>
      </w:r>
    </w:p>
    <w:p>
      <w:pPr>
        <w:spacing w:after="100" w:before="40"/>
        <w:ind w:left="360"/>
      </w:pPr>
      <w:r>
        <w:rPr>
          <w:rFonts w:ascii="Arial" w:cs="Arial" w:eastAsia="Arial" w:hAnsi="Arial"/>
          <w:color w:val="333333"/>
          <w:sz w:val="20"/>
          <w:szCs w:val="20"/>
        </w:rPr>
        <w:t xml:space="preserve">B+D (including all employees, contractors, and personnel of Macaire Solutions Ltd) is not, and shall not be deemed to be, a director, shadow director, de facto director, officer, agent, or legal representative of the Company. B+D provides services under a commercial arrangement governed by this Agreement only. In particular:
(a) The Founder shall ensure that all decisions of the Company are made by the Founder as sole director acting on the Founder's own independent judgment. B+D's recommendations constitute professional service advice only; the Founder shall not become accustomed to acting on B+D's directions without independent consideration.
(b) The Founder shall maintain written records sufficient to demonstrate that key Company decisions — including approval of Monthly Invoices, entry into material contracts, hiring, and IP assignments — were made by the Founder in the Founder's capacity as sole director.
(c) No B+D personnel shall: (i) sign any Company documents as an officer; (ii) hold any bank mandate, payment authority, or signatory power on the Capital Account or any other Company account; (iii) instruct any Company employee, contractor, or supplier in a capacity other than as the Company's service provider under this Agreement; or (iv) attend any board meeting as a participant (the observer role in clause 11.2 is the only permitted attendance).
(d) Neither party shall make any representation to any third party that is inconsistent with this clause.</w:t>
      </w:r>
    </w:p>
    <w:p>
      <w:pPr>
        <w:spacing w:after="60" w:before="140"/>
      </w:pPr>
      <w:r>
        <w:rPr>
          <w:rFonts w:ascii="Arial" w:cs="Arial" w:eastAsia="Arial" w:hAnsi="Arial"/>
          <w:b/>
          <w:bCs/>
          <w:color w:val="0F2444"/>
          <w:sz w:val="20"/>
          <w:szCs w:val="20"/>
        </w:rPr>
        <w:t xml:space="preserve">17.3  No B+D Liability for Company Debts</w:t>
      </w:r>
    </w:p>
    <w:p>
      <w:pPr>
        <w:spacing w:after="100" w:before="40"/>
        <w:ind w:left="360"/>
      </w:pPr>
      <w:r>
        <w:rPr>
          <w:rFonts w:ascii="Arial" w:cs="Arial" w:eastAsia="Arial" w:hAnsi="Arial"/>
          <w:color w:val="333333"/>
          <w:sz w:val="20"/>
          <w:szCs w:val="20"/>
        </w:rPr>
        <w:t xml:space="preserve">B+D has no liability, whether actual, contingent, or prospective, for: (a) any debt, liability, or obligation of the Company to any creditor, employee, contractor, customer, landlord, or other third party; (b) any tax, VAT, PAYE, National Insurance, or other statutory obligation of the Company; (c) any regulatory fine, penalty, or sanction imposed on the Company; (d) any claim brought by any third party against the Company; or (e) any loss or damage suffered by any third party arising from the Company's Business. This clause applies whether or not B+D has provided Services to the Company and irrespective of any vested equity B+D holds.</w:t>
      </w:r>
    </w:p>
    <w:p>
      <w:pPr>
        <w:spacing w:after="60" w:before="140"/>
      </w:pPr>
      <w:r>
        <w:rPr>
          <w:rFonts w:ascii="Arial" w:cs="Arial" w:eastAsia="Arial" w:hAnsi="Arial"/>
          <w:b/>
          <w:bCs/>
          <w:color w:val="0F2444"/>
          <w:sz w:val="20"/>
          <w:szCs w:val="20"/>
        </w:rPr>
        <w:t xml:space="preserve">17.4  Founder Indemnity to B+D</w:t>
      </w:r>
    </w:p>
    <w:p>
      <w:pPr>
        <w:spacing w:after="100" w:before="40"/>
        <w:ind w:left="360"/>
      </w:pPr>
      <w:r>
        <w:rPr>
          <w:rFonts w:ascii="Arial" w:cs="Arial" w:eastAsia="Arial" w:hAnsi="Arial"/>
          <w:color w:val="333333"/>
          <w:sz w:val="20"/>
          <w:szCs w:val="20"/>
        </w:rPr>
        <w:t xml:space="preserve">The Founder shall fully indemnify, defend, and hold harmless Macaire Solutions Ltd (and its directors, employees, contractors, and agents) against all and any claims, liabilities, losses, damages, costs (including reasonable legal costs on an indemnity basis), fines, penalties, and expenses arising directly or indirectly from: (a) any act or omission of the Founder (including as director of the Company); (b) any breach of this Agreement by the Founder; (c) any debt or liability incurred by the Company in the ordinary course of its Business; (d) any SEIS disqualification caused by the Founder's act or omission; (e) any false or misleading information provided by the Founder, including source of funds documentation; (f) any IP infringement arising from materials, instructions, or specifications provided by the Founder to B+D; (g) any employment, contractor, or agency claim by any person engaged or instructed by the Founder or the Company; (h) any regulatory investigation, audit, or enforcement action triggered by the Founder's conduct; (i) any claim arising from the Company's products, services, marketing, or customer relationships; or (j) the Founder's criminal act or fraudulent conduct in connection with the Company.</w:t>
      </w:r>
    </w:p>
    <w:p>
      <w:pPr>
        <w:spacing w:after="60" w:before="140"/>
      </w:pPr>
      <w:r>
        <w:rPr>
          <w:rFonts w:ascii="Arial" w:cs="Arial" w:eastAsia="Arial" w:hAnsi="Arial"/>
          <w:b/>
          <w:bCs/>
          <w:color w:val="0F2444"/>
          <w:sz w:val="20"/>
          <w:szCs w:val="20"/>
        </w:rPr>
        <w:t xml:space="preserve">17.4A  Company-Level Covenant to Macaire</w:t>
      </w:r>
    </w:p>
    <w:p>
      <w:pPr>
        <w:spacing w:after="100" w:before="40"/>
        <w:ind w:left="360"/>
      </w:pPr>
      <w:r>
        <w:rPr>
          <w:rFonts w:ascii="Arial" w:cs="Arial" w:eastAsia="Arial" w:hAnsi="Arial"/>
          <w:color w:val="333333"/>
          <w:sz w:val="20"/>
          <w:szCs w:val="20"/>
        </w:rPr>
        <w:t xml:space="preserve">The Company hereby covenants with Macaire Solutions Ltd that it shall not take any action — including by resolution of its shareholders, by the Founder acting as sole director, or by the appointment of any officer or agent — that would have the effect of preventing, reducing, or impairing Macaire Solutions Ltd's ability to exercise its rights or recover under clause 17.4. Without limiting the generality of the foregoing, the Company shall not: (a) settle any claim against Macaire without Macaire's prior written consent; (b) make any admission of liability on Macaire's behalf; or (c) commence any proceeding against Macaire in respect of a matter that is the subject of the Founder's indemnity obligation. This covenant is given by the Company and is enforceable by Macaire as a third-party beneficiary notwithstanding clause 21.8.</w:t>
      </w:r>
    </w:p>
    <w:p>
      <w:pPr>
        <w:spacing w:after="40" w:before="40"/>
      </w:pPr>
    </w:p>
    <w:p>
      <w:pPr>
        <w:spacing w:after="60" w:before="140"/>
      </w:pPr>
      <w:r>
        <w:rPr>
          <w:rFonts w:ascii="Arial" w:cs="Arial" w:eastAsia="Arial" w:hAnsi="Arial"/>
          <w:b/>
          <w:bCs/>
          <w:color w:val="0F2444"/>
          <w:sz w:val="20"/>
          <w:szCs w:val="20"/>
        </w:rPr>
        <w:t xml:space="preserve">17.5  Programme Firewall — Multi-Company Legal Separation</w:t>
      </w:r>
    </w:p>
    <w:p>
      <w:pPr>
        <w:spacing w:after="100" w:before="40"/>
        <w:ind w:left="360"/>
      </w:pPr>
      <w:r>
        <w:rPr>
          <w:rFonts w:ascii="Arial" w:cs="Arial" w:eastAsia="Arial" w:hAnsi="Arial"/>
          <w:color w:val="333333"/>
          <w:sz w:val="20"/>
          <w:szCs w:val="20"/>
        </w:rPr>
        <w:t xml:space="preserve">The Founder75 programme operates across multiple independently incorporated companies. Each company is a separate legal entity with its own shareholders, assets, and liabilities. Accordingly: (a) no Founder75 company is liable for the debts or obligations of any other Founder75 company; (b) B+D's equity stake in this Company creates no liability in respect of any other programme company; (c) no default, insolvency, or legal action against any other Founder75 company affects or diminishes B+D's rights under this Agreement; and (d) B+D's relationship with any other Founder75 participant is confidential and shall not be disclosed by the Founder without B+D's prior written consent.</w:t>
      </w:r>
    </w:p>
    <w:p>
      <w:pPr>
        <w:spacing w:after="60" w:before="140"/>
      </w:pPr>
      <w:r>
        <w:rPr>
          <w:rFonts w:ascii="Arial" w:cs="Arial" w:eastAsia="Arial" w:hAnsi="Arial"/>
          <w:b/>
          <w:bCs/>
          <w:color w:val="0F2444"/>
          <w:sz w:val="20"/>
          <w:szCs w:val="20"/>
        </w:rPr>
        <w:t xml:space="preserve">17.6  No B+D Guarantee</w:t>
      </w:r>
    </w:p>
    <w:p>
      <w:pPr>
        <w:spacing w:after="100" w:before="40"/>
        <w:ind w:left="360"/>
      </w:pPr>
      <w:r>
        <w:rPr>
          <w:rFonts w:ascii="Arial" w:cs="Arial" w:eastAsia="Arial" w:hAnsi="Arial"/>
          <w:color w:val="333333"/>
          <w:sz w:val="20"/>
          <w:szCs w:val="20"/>
        </w:rPr>
        <w:t xml:space="preserve">B+D has not provided, and shall not be required to provide, any guarantee, indemnity, security, personal guarantee, or credit support in respect of any obligation or debt of the Company to any third party, including any lender, supplier, or customer.</w:t>
      </w:r>
    </w:p>
    <w:p>
      <w:pPr>
        <w:spacing w:after="60" w:before="140"/>
      </w:pPr>
      <w:r>
        <w:rPr>
          <w:rFonts w:ascii="Arial" w:cs="Arial" w:eastAsia="Arial" w:hAnsi="Arial"/>
          <w:b/>
          <w:bCs/>
          <w:color w:val="0F2444"/>
          <w:sz w:val="20"/>
          <w:szCs w:val="20"/>
        </w:rPr>
        <w:t xml:space="preserve">17.7  B+D Right to Recover Legal Costs</w:t>
      </w:r>
    </w:p>
    <w:p>
      <w:pPr>
        <w:spacing w:after="100" w:before="40"/>
        <w:ind w:left="360"/>
      </w:pPr>
      <w:r>
        <w:rPr>
          <w:rFonts w:ascii="Arial" w:cs="Arial" w:eastAsia="Arial" w:hAnsi="Arial"/>
          <w:color w:val="333333"/>
          <w:sz w:val="20"/>
          <w:szCs w:val="20"/>
        </w:rPr>
        <w:t xml:space="preserve">If B+D or any of its personnel is joined, named, or threatened as a party to any legal, regulatory, or arbitration proceeding arising from: (a) the Founder's acts or omissions; (b) the Company's Business; or (c) any alleged liability of the Company; then the Founder shall reimburse B+D all reasonable legal and professional costs incurred in responding to or defending such proceedings within 30 calendar days of demand, unless and to the extent that a final court judgment expressly finds B+D to have been at fault in the relevant matter. For the avoidance of doubt, this obligation to reimburse applies where: (i) proceedings are settled or withdrawn without any finding on fault; (ii) proceedings are struck out or discontinued; or (iii) B+D reasonably incurs costs in responding to a claim that is, in B+D's reasonable assessment, without merit — provided B+D notifies the Founder before incurring costs exceeding £5,000. B+D shall notify the Founder as soon as practicable upon becoming aware of any such proceedings and shall co-operate reasonably with the Founder in managing or defending them.</w:t>
      </w:r>
    </w:p>
    <w:p>
      <w:pPr>
        <w:spacing w:after="60" w:before="140"/>
      </w:pPr>
      <w:r>
        <w:rPr>
          <w:rFonts w:ascii="Arial" w:cs="Arial" w:eastAsia="Arial" w:hAnsi="Arial"/>
          <w:b/>
          <w:bCs/>
          <w:color w:val="0F2444"/>
          <w:sz w:val="20"/>
          <w:szCs w:val="20"/>
        </w:rPr>
        <w:t xml:space="preserve">17.8  Unlawful Use</w:t>
      </w:r>
    </w:p>
    <w:p>
      <w:pPr>
        <w:spacing w:after="100" w:before="40"/>
        <w:ind w:left="360"/>
      </w:pPr>
      <w:r>
        <w:rPr>
          <w:rFonts w:ascii="Arial" w:cs="Arial" w:eastAsia="Arial" w:hAnsi="Arial"/>
          <w:color w:val="333333"/>
          <w:sz w:val="20"/>
          <w:szCs w:val="20"/>
        </w:rPr>
        <w:t xml:space="preserve">The Founder warrants that the Company will not be used for any purpose that is illegal, fraudulent, in breach of HMRC regulations, or contrary to anti-money laundering legislation. If B+D becomes aware that the Company is being used for an unlawful purpose, B+D may immediately suspend the Services and terminate this Agreement on written notice with no liability. All vesting shall cease from the date of suspension.</w:t>
      </w:r>
    </w:p>
    <w:p>
      <w:pPr>
        <w:spacing w:after="60" w:before="140"/>
      </w:pPr>
      <w:r>
        <w:rPr>
          <w:rFonts w:ascii="Arial" w:cs="Arial" w:eastAsia="Arial" w:hAnsi="Arial"/>
          <w:b/>
          <w:bCs/>
          <w:color w:val="0F2444"/>
          <w:sz w:val="20"/>
          <w:szCs w:val="20"/>
        </w:rPr>
        <w:t xml:space="preserve">17.9  Indemnity Survives Exit</w:t>
      </w:r>
    </w:p>
    <w:p>
      <w:pPr>
        <w:spacing w:after="100" w:before="40"/>
        <w:ind w:left="360"/>
      </w:pPr>
      <w:r>
        <w:rPr>
          <w:rFonts w:ascii="Arial" w:cs="Arial" w:eastAsia="Arial" w:hAnsi="Arial"/>
          <w:color w:val="333333"/>
          <w:sz w:val="20"/>
          <w:szCs w:val="20"/>
        </w:rPr>
        <w:t xml:space="preserve">The Founder's indemnity obligations under clause 17.4 and the B+D legal protections under this clause 17 survive the termination or expiry of this Agreement for a period of 6 years. The 6-year period does not apply to: (a) claims arising from IP infringement under clause 10, which survive indefinitely; (b) fraud or criminal conduct by the Founder, which survive indefinitely; or (c) any claim in respect of which the Founder has given a false representation in clause 15.1, which survives for 12 years.</w:t>
      </w:r>
    </w:p>
    <w:p>
      <w:pPr>
        <w:pStyle w:val="Heading1"/>
        <w:spacing w:after="160" w:before="360"/>
      </w:pPr>
      <w:r>
        <w:rPr>
          <w:rFonts w:ascii="Arial" w:cs="Arial" w:eastAsia="Arial" w:hAnsi="Arial"/>
          <w:b/>
          <w:bCs/>
          <w:color w:val="0F2444"/>
          <w:sz w:val="28"/>
          <w:szCs w:val="28"/>
        </w:rPr>
        <w:t xml:space="preserve">18.  LIMITATION OF LIABILITY</w:t>
      </w:r>
    </w:p>
    <w:p>
      <w:pPr>
        <w:spacing w:after="100" w:before="60"/>
      </w:pPr>
      <w:r>
        <w:rPr>
          <w:rFonts w:ascii="Arial" w:cs="Arial" w:eastAsia="Arial" w:hAnsi="Arial"/>
          <w:color w:val="333333"/>
          <w:sz w:val="20"/>
          <w:szCs w:val="20"/>
        </w:rPr>
        <w:t xml:space="preserve">18.1  Neither party is liable for indirect, consequential, special, or punitive loss.</w:t>
      </w:r>
    </w:p>
    <w:p>
      <w:pPr>
        <w:spacing w:after="100" w:before="60"/>
      </w:pPr>
      <w:r>
        <w:rPr>
          <w:rFonts w:ascii="Arial" w:cs="Arial" w:eastAsia="Arial" w:hAnsi="Arial"/>
          <w:color w:val="333333"/>
          <w:sz w:val="20"/>
          <w:szCs w:val="20"/>
        </w:rPr>
        <w:t xml:space="preserve">18.2  B+D's aggregate liability under this Agreement is capped at the greater of: (a) the Fair Market Value of all vested Class B Shares at the date of the claim; or (b) total cash paid under Monthly Invoices in the 6 months preceding the claim.</w:t>
      </w:r>
    </w:p>
    <w:p>
      <w:pPr>
        <w:spacing w:after="100" w:before="60"/>
      </w:pPr>
      <w:r>
        <w:rPr>
          <w:rFonts w:ascii="Arial" w:cs="Arial" w:eastAsia="Arial" w:hAnsi="Arial"/>
          <w:color w:val="333333"/>
          <w:sz w:val="20"/>
          <w:szCs w:val="20"/>
        </w:rPr>
        <w:t xml:space="preserve">18.3  The Founder's aggregate liability to B+D in contract or tort is capped at the Fair Market Value of B+D's vested Class B Shares at the date of the claim. This cap does not apply to the Founder's obligations under clause 17.4, which are uncapped.</w:t>
      </w:r>
    </w:p>
    <w:p>
      <w:pPr>
        <w:spacing w:after="100" w:before="60"/>
      </w:pPr>
      <w:r>
        <w:rPr>
          <w:rFonts w:ascii="Arial" w:cs="Arial" w:eastAsia="Arial" w:hAnsi="Arial"/>
          <w:color w:val="333333"/>
          <w:sz w:val="20"/>
          <w:szCs w:val="20"/>
        </w:rPr>
        <w:t xml:space="preserve">18.4  Nothing limits liability for: (a) fraud or fraudulent misrepresentation; (b) wilful misconduct; or (c) death or personal injury caused by negligence.</w:t>
      </w:r>
    </w:p>
    <w:p>
      <w:pPr>
        <w:pStyle w:val="Heading1"/>
        <w:spacing w:after="160" w:before="360"/>
      </w:pPr>
      <w:r>
        <w:rPr>
          <w:rFonts w:ascii="Arial" w:cs="Arial" w:eastAsia="Arial" w:hAnsi="Arial"/>
          <w:b/>
          <w:bCs/>
          <w:color w:val="0F2444"/>
          <w:sz w:val="28"/>
          <w:szCs w:val="28"/>
        </w:rPr>
        <w:t xml:space="preserve">19.  DISPUTE RESOLUTION</w:t>
      </w:r>
    </w:p>
    <w:p>
      <w:pPr>
        <w:spacing w:after="100" w:before="60"/>
      </w:pPr>
      <w:r>
        <w:rPr>
          <w:rFonts w:ascii="Arial" w:cs="Arial" w:eastAsia="Arial" w:hAnsi="Arial"/>
          <w:color w:val="333333"/>
          <w:sz w:val="20"/>
          <w:szCs w:val="20"/>
        </w:rPr>
        <w:t xml:space="preserve">19.1  Pure valuation / invoice quantum disputes: referred directly to expert determination (Fair Market Value mechanism). Court proceedings under clause 19.3 are not available for pure valuation disputes.</w:t>
      </w:r>
    </w:p>
    <w:p>
      <w:pPr>
        <w:spacing w:after="100" w:before="60"/>
      </w:pPr>
      <w:r>
        <w:rPr>
          <w:rFonts w:ascii="Arial" w:cs="Arial" w:eastAsia="Arial" w:hAnsi="Arial"/>
          <w:color w:val="333333"/>
          <w:sz w:val="20"/>
          <w:szCs w:val="20"/>
        </w:rPr>
        <w:t xml:space="preserve">19.2  Other disputes: good faith negotiation (20 Business Days), then CEDR mediation (mediator agreed within 5 Business Days, or appointed by CEDR on request; costs shared equally initially, subject to reallocation). If mediation fails or is not agreed within 30 Business Days, either party may proceed under clause 19.3.</w:t>
      </w:r>
    </w:p>
    <w:p>
      <w:pPr>
        <w:spacing w:after="100" w:before="60"/>
      </w:pPr>
      <w:r>
        <w:rPr>
          <w:rFonts w:ascii="Arial" w:cs="Arial" w:eastAsia="Arial" w:hAnsi="Arial"/>
          <w:color w:val="333333"/>
          <w:sz w:val="20"/>
          <w:szCs w:val="20"/>
        </w:rPr>
        <w:t xml:space="preserve">19.3  Disputes not resolved by 19.1 or 19.2 shall be determined by the courts of England and Wales (exclusive jurisdiction). Either party may seek urgent injunctive or interim relief without prior notice.</w:t>
      </w:r>
    </w:p>
    <w:p>
      <w:pPr>
        <w:pStyle w:val="Heading1"/>
        <w:spacing w:after="160" w:before="360"/>
      </w:pPr>
      <w:r>
        <w:rPr>
          <w:rFonts w:ascii="Arial" w:cs="Arial" w:eastAsia="Arial" w:hAnsi="Arial"/>
          <w:b/>
          <w:bCs/>
          <w:color w:val="0F2444"/>
          <w:sz w:val="28"/>
          <w:szCs w:val="28"/>
        </w:rPr>
        <w:t xml:space="preserve">20.  FORCE MAJEURE</w:t>
      </w:r>
    </w:p>
    <w:p>
      <w:pPr>
        <w:spacing w:after="100" w:before="60"/>
      </w:pPr>
      <w:r>
        <w:rPr>
          <w:rFonts w:ascii="Arial" w:cs="Arial" w:eastAsia="Arial" w:hAnsi="Arial"/>
          <w:color w:val="333333"/>
          <w:sz w:val="20"/>
          <w:szCs w:val="20"/>
        </w:rPr>
        <w:t xml:space="preserve">20.1  Neither party is liable for delay or failure caused by circumstances beyond its reasonable control (including acts of God, pandemic, war, government action, cyberattack, or third-party infrastructure failure). Invoicing and vesting are suspended for the duration.</w:t>
      </w:r>
    </w:p>
    <w:p>
      <w:pPr>
        <w:spacing w:after="100" w:before="60"/>
      </w:pPr>
      <w:r>
        <w:rPr>
          <w:rFonts w:ascii="Arial" w:cs="Arial" w:eastAsia="Arial" w:hAnsi="Arial"/>
          <w:color w:val="333333"/>
          <w:sz w:val="20"/>
          <w:szCs w:val="20"/>
        </w:rPr>
        <w:t xml:space="preserve">20.2  The affected party shall notify the other in writing as soon as practicable.</w:t>
      </w:r>
    </w:p>
    <w:p>
      <w:pPr>
        <w:spacing w:after="100" w:before="60"/>
      </w:pPr>
      <w:r>
        <w:rPr>
          <w:rFonts w:ascii="Arial" w:cs="Arial" w:eastAsia="Arial" w:hAnsi="Arial"/>
          <w:color w:val="333333"/>
          <w:sz w:val="20"/>
          <w:szCs w:val="20"/>
        </w:rPr>
        <w:t xml:space="preserve">20.3  If the event persists for more than 60 consecutive calendar days, either party may terminate on 10 Business Days' written notice. Equity vested before the event is retained by B+D.</w:t>
      </w:r>
    </w:p>
    <w:p>
      <w:pPr>
        <w:pStyle w:val="Heading1"/>
        <w:spacing w:after="160" w:before="360"/>
      </w:pPr>
      <w:r>
        <w:rPr>
          <w:rFonts w:ascii="Arial" w:cs="Arial" w:eastAsia="Arial" w:hAnsi="Arial"/>
          <w:b/>
          <w:bCs/>
          <w:color w:val="0F2444"/>
          <w:sz w:val="28"/>
          <w:szCs w:val="28"/>
        </w:rPr>
        <w:t xml:space="preserve">21.  GENERAL</w:t>
      </w:r>
    </w:p>
    <w:p>
      <w:pPr>
        <w:spacing w:after="100" w:before="60"/>
      </w:pPr>
      <w:r>
        <w:rPr>
          <w:rFonts w:ascii="Arial" w:cs="Arial" w:eastAsia="Arial" w:hAnsi="Arial"/>
          <w:color w:val="333333"/>
          <w:sz w:val="20"/>
          <w:szCs w:val="20"/>
        </w:rPr>
        <w:t xml:space="preserve">21.1  Governing Law: England and Wales.</w:t>
      </w:r>
    </w:p>
    <w:p>
      <w:pPr>
        <w:spacing w:after="100" w:before="60"/>
      </w:pPr>
      <w:r>
        <w:rPr>
          <w:rFonts w:ascii="Arial" w:cs="Arial" w:eastAsia="Arial" w:hAnsi="Arial"/>
          <w:color w:val="333333"/>
          <w:sz w:val="20"/>
          <w:szCs w:val="20"/>
        </w:rPr>
        <w:t xml:space="preserve">21.2  Entire Agreement: This Agreement and its Schedules supersede all prior agreements.</w:t>
      </w:r>
    </w:p>
    <w:p>
      <w:pPr>
        <w:spacing w:after="100" w:before="60"/>
      </w:pPr>
      <w:r>
        <w:rPr>
          <w:rFonts w:ascii="Arial" w:cs="Arial" w:eastAsia="Arial" w:hAnsi="Arial"/>
          <w:color w:val="333333"/>
          <w:sz w:val="20"/>
          <w:szCs w:val="20"/>
        </w:rPr>
        <w:t xml:space="preserve">21.3  Variation: No variation unless in writing signed by all parties.</w:t>
      </w:r>
    </w:p>
    <w:p>
      <w:pPr>
        <w:spacing w:after="100" w:before="60"/>
      </w:pPr>
      <w:r>
        <w:rPr>
          <w:rFonts w:ascii="Arial" w:cs="Arial" w:eastAsia="Arial" w:hAnsi="Arial"/>
          <w:color w:val="333333"/>
          <w:sz w:val="20"/>
          <w:szCs w:val="20"/>
        </w:rPr>
        <w:t xml:space="preserve">21.4  Severability: If any provision is invalid, it is severed and the remainder continues. If severance risks the Company losing SEIS status, the parties shall have 20 Business Days to agree a replacement; failing which, the Founder may terminate on 10 Business Days' notice.</w:t>
      </w:r>
    </w:p>
    <w:p>
      <w:pPr>
        <w:spacing w:after="100" w:before="60"/>
      </w:pPr>
      <w:r>
        <w:rPr>
          <w:rFonts w:ascii="Arial" w:cs="Arial" w:eastAsia="Arial" w:hAnsi="Arial"/>
          <w:color w:val="333333"/>
          <w:sz w:val="20"/>
          <w:szCs w:val="20"/>
        </w:rPr>
        <w:t xml:space="preserve">21.5  No Waiver: Failure to exercise any right is not a waiver.</w:t>
      </w:r>
    </w:p>
    <w:p>
      <w:pPr>
        <w:spacing w:after="100" w:before="60"/>
      </w:pPr>
      <w:r>
        <w:rPr>
          <w:rFonts w:ascii="Arial" w:cs="Arial" w:eastAsia="Arial" w:hAnsi="Arial"/>
          <w:color w:val="333333"/>
          <w:sz w:val="20"/>
          <w:szCs w:val="20"/>
        </w:rPr>
        <w:t xml:space="preserve">21.6  Notices: In writing by email (read receipt = delivery) to Schedule 3 details, or by recorded delivery.</w:t>
      </w:r>
    </w:p>
    <w:p>
      <w:pPr>
        <w:spacing w:after="100" w:before="60"/>
      </w:pPr>
      <w:r>
        <w:rPr>
          <w:rFonts w:ascii="Arial" w:cs="Arial" w:eastAsia="Arial" w:hAnsi="Arial"/>
          <w:color w:val="333333"/>
          <w:sz w:val="20"/>
          <w:szCs w:val="20"/>
        </w:rPr>
        <w:t xml:space="preserve">21.7  Electronic Signatures: Accepted via qualified electronic signature platform (DocuSign / Adobe Sign). Deeds shall be wet-ink or deed-compliant electronic execution. Share transfers by stock transfer form submitted to Companies House.</w:t>
      </w:r>
    </w:p>
    <w:p>
      <w:pPr>
        <w:spacing w:after="100" w:before="60"/>
      </w:pPr>
      <w:r>
        <w:rPr>
          <w:rFonts w:ascii="Arial" w:cs="Arial" w:eastAsia="Arial" w:hAnsi="Arial"/>
          <w:color w:val="333333"/>
          <w:sz w:val="20"/>
          <w:szCs w:val="20"/>
        </w:rPr>
        <w:t xml:space="preserve">21.8  Third Party Rights: Contracts (Rights of Third Parties) Act 1999 is excluded.</w:t>
      </w:r>
    </w:p>
    <w:p>
      <w:pPr>
        <w:spacing w:after="100" w:before="60"/>
      </w:pPr>
      <w:r>
        <w:rPr>
          <w:rFonts w:ascii="Arial" w:cs="Arial" w:eastAsia="Arial" w:hAnsi="Arial"/>
          <w:color w:val="333333"/>
          <w:sz w:val="20"/>
          <w:szCs w:val="20"/>
        </w:rPr>
        <w:t xml:space="preserve">21.9  Independent Legal Advice: Both parties confirm they have had the opportunity to seek independent legal advice.</w:t>
      </w:r>
    </w:p>
    <w:p>
      <w:pPr>
        <w:spacing w:after="100" w:before="60"/>
      </w:pPr>
      <w:r>
        <w:rPr>
          <w:rFonts w:ascii="Arial" w:cs="Arial" w:eastAsia="Arial" w:hAnsi="Arial"/>
          <w:color w:val="333333"/>
          <w:sz w:val="20"/>
          <w:szCs w:val="20"/>
        </w:rPr>
        <w:t xml:space="preserve">21.10  Deadlock on Routine Consents: Where B+D has not responded to a written consent request within 10 Business Days, consent is deemed given for routine operational matters only. This deemed-consent mechanism does not apply to share issuances, Sprint extension, or amendment of this Agreement.</w:t>
      </w:r>
    </w:p>
    <w:p>
      <w:pPr>
        <w:pageBreakBefore/>
      </w:pPr>
    </w:p>
    <w:p>
      <w:pPr>
        <w:pStyle w:val="Heading1"/>
        <w:spacing w:after="160" w:before="360"/>
      </w:pPr>
      <w:r>
        <w:rPr>
          <w:rFonts w:ascii="Arial" w:cs="Arial" w:eastAsia="Arial" w:hAnsi="Arial"/>
          <w:b/>
          <w:bCs/>
          <w:color w:val="0F2444"/>
          <w:sz w:val="28"/>
          <w:szCs w:val="28"/>
        </w:rPr>
        <w:t xml:space="preserve">SIGNATURE PAGE</w:t>
      </w:r>
    </w:p>
    <w:p>
      <w:pPr>
        <w:pBdr>
          <w:bottom w:val="single" w:color="E2E8F0" w:sz="4"/>
        </w:pBdr>
        <w:spacing w:after="100" w:before="100"/>
      </w:pPr>
    </w:p>
    <w:p>
      <w:pPr>
        <w:spacing w:after="40" w:before="40"/>
      </w:pPr>
    </w:p>
    <w:p>
      <w:pPr>
        <w:spacing w:after="100" w:before="60"/>
      </w:pPr>
      <w:r>
        <w:rPr>
          <w:rFonts w:ascii="Arial" w:cs="Arial" w:eastAsia="Arial" w:hAnsi="Arial"/>
          <w:color w:val="333333"/>
          <w:sz w:val="20"/>
          <w:szCs w:val="20"/>
        </w:rPr>
        <w:t xml:space="preserve">SIGNED by the Founder:</w:t>
      </w:r>
    </w:p>
    <w:p>
      <w:pPr>
        <w:spacing w:after="40" w:before="40"/>
      </w:pPr>
    </w:p>
    <w:p>
      <w:pPr>
        <w:spacing w:after="100" w:before="60"/>
      </w:pPr>
      <w:r>
        <w:rPr>
          <w:rFonts w:ascii="Arial" w:cs="Arial" w:eastAsia="Arial" w:hAnsi="Arial"/>
          <w:color w:val="333333"/>
          <w:sz w:val="20"/>
          <w:szCs w:val="20"/>
        </w:rPr>
        <w:t xml:space="preserve">Name: _____________________________________________</w:t>
      </w:r>
    </w:p>
    <w:p>
      <w:pPr>
        <w:spacing w:after="100" w:before="60"/>
      </w:pPr>
      <w:r>
        <w:rPr>
          <w:rFonts w:ascii="Arial" w:cs="Arial" w:eastAsia="Arial" w:hAnsi="Arial"/>
          <w:color w:val="333333"/>
          <w:sz w:val="20"/>
          <w:szCs w:val="20"/>
        </w:rPr>
        <w:t xml:space="preserve">Signature: _________________________   Date: ______________</w:t>
      </w:r>
    </w:p>
    <w:p>
      <w:pPr>
        <w:spacing w:after="40" w:before="40"/>
      </w:pPr>
    </w:p>
    <w:p>
      <w:pPr>
        <w:spacing w:after="40" w:before="40"/>
      </w:pPr>
    </w:p>
    <w:p>
      <w:pPr>
        <w:spacing w:after="100" w:before="60"/>
      </w:pPr>
      <w:r>
        <w:rPr>
          <w:rFonts w:ascii="Arial" w:cs="Arial" w:eastAsia="Arial" w:hAnsi="Arial"/>
          <w:color w:val="333333"/>
          <w:sz w:val="20"/>
          <w:szCs w:val="20"/>
        </w:rPr>
        <w:t xml:space="preserve">SIGNED for and on behalf of Macaire Solutions Ltd (CH: 15754659):</w:t>
      </w:r>
    </w:p>
    <w:p>
      <w:pPr>
        <w:spacing w:after="40" w:before="40"/>
      </w:pPr>
    </w:p>
    <w:p>
      <w:pPr>
        <w:spacing w:after="100" w:before="60"/>
      </w:pPr>
      <w:r>
        <w:rPr>
          <w:rFonts w:ascii="Arial" w:cs="Arial" w:eastAsia="Arial" w:hAnsi="Arial"/>
          <w:color w:val="333333"/>
          <w:sz w:val="20"/>
          <w:szCs w:val="20"/>
        </w:rPr>
        <w:t xml:space="preserve">Name: Piyush Mishra   |   Director</w:t>
      </w:r>
    </w:p>
    <w:p>
      <w:pPr>
        <w:spacing w:after="100" w:before="60"/>
      </w:pPr>
      <w:r>
        <w:rPr>
          <w:rFonts w:ascii="Arial" w:cs="Arial" w:eastAsia="Arial" w:hAnsi="Arial"/>
          <w:color w:val="333333"/>
          <w:sz w:val="20"/>
          <w:szCs w:val="20"/>
        </w:rPr>
        <w:t xml:space="preserve">Signature: _________________________   Date: ______________</w:t>
      </w:r>
    </w:p>
    <w:p>
      <w:pPr>
        <w:spacing w:after="40" w:before="40"/>
      </w:pPr>
    </w:p>
    <w:p>
      <w:pPr>
        <w:spacing w:after="40" w:before="40"/>
      </w:pPr>
    </w:p>
    <w:p>
      <w:pPr>
        <w:spacing w:after="100" w:before="60"/>
      </w:pPr>
      <w:r>
        <w:rPr>
          <w:rFonts w:ascii="Arial" w:cs="Arial" w:eastAsia="Arial" w:hAnsi="Arial"/>
          <w:color w:val="333333"/>
          <w:sz w:val="20"/>
          <w:szCs w:val="20"/>
        </w:rPr>
        <w:t xml:space="preserve">SIGNED on behalf of the Company (to be executed post-incorporation):</w:t>
      </w:r>
    </w:p>
    <w:p>
      <w:pPr>
        <w:spacing w:after="40" w:before="40"/>
      </w:pPr>
    </w:p>
    <w:p>
      <w:pPr>
        <w:spacing w:after="100" w:before="60"/>
      </w:pPr>
      <w:r>
        <w:rPr>
          <w:rFonts w:ascii="Arial" w:cs="Arial" w:eastAsia="Arial" w:hAnsi="Arial"/>
          <w:color w:val="333333"/>
          <w:sz w:val="20"/>
          <w:szCs w:val="20"/>
        </w:rPr>
        <w:t xml:space="preserve">Name: _____________________________________________   |   Director, [COMPANY NAME] Ltd</w:t>
      </w:r>
    </w:p>
    <w:p>
      <w:pPr>
        <w:spacing w:after="100" w:before="60"/>
      </w:pPr>
      <w:r>
        <w:rPr>
          <w:rFonts w:ascii="Arial" w:cs="Arial" w:eastAsia="Arial" w:hAnsi="Arial"/>
          <w:color w:val="333333"/>
          <w:sz w:val="20"/>
          <w:szCs w:val="20"/>
        </w:rPr>
        <w:t xml:space="preserve">Signature: _________________________   Date: ______________</w:t>
      </w:r>
    </w:p>
    <w:p>
      <w:pPr>
        <w:pageBreakBefore/>
      </w:pPr>
    </w:p>
    <w:p>
      <w:pPr>
        <w:pStyle w:val="Heading1"/>
        <w:spacing w:after="160" w:before="360"/>
      </w:pPr>
      <w:r>
        <w:rPr>
          <w:rFonts w:ascii="Arial" w:cs="Arial" w:eastAsia="Arial" w:hAnsi="Arial"/>
          <w:b/>
          <w:bCs/>
          <w:color w:val="0F2444"/>
          <w:sz w:val="28"/>
          <w:szCs w:val="28"/>
        </w:rPr>
        <w:t xml:space="preserve">SCHEDULE 1 — INVESTMENT TIERS</w:t>
      </w:r>
    </w:p>
    <w:p>
      <w:pPr>
        <w:spacing w:after="40" w:before="4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504"/>
        <w:gridCol w:w="1504"/>
        <w:gridCol w:w="1504"/>
        <w:gridCol w:w="1504"/>
        <w:gridCol w:w="1504"/>
        <w:gridCol w:w="1506"/>
      </w:tblGrid>
      <w:tr>
        <w:tc>
          <w:tcPr>
            <w:tcW w:type="dxa" w:w="1504"/>
            <w:tcBorders>
              <w:top w:val="single" w:color="E2E8F0" w:sz="1"/>
              <w:left w:val="single" w:color="E2E8F0" w:sz="1"/>
              <w:bottom w:val="single" w:color="E2E8F0" w:sz="1"/>
              <w:right w:val="single" w:color="E2E8F0" w:sz="1"/>
            </w:tcBorders>
            <w:shd w:fill="0F2444" w:val="clear"/>
            <w:tcMar>
              <w:top w:type="dxa" w:w="70"/>
              <w:left w:type="dxa" w:w="80"/>
              <w:bottom w:type="dxa" w:w="70"/>
              <w:right w:type="dxa" w:w="80"/>
            </w:tcMar>
          </w:tcPr>
          <w:p>
            <w:pPr>
              <w:jc w:val="center"/>
            </w:pPr>
            <w:r>
              <w:rPr>
                <w:rFonts w:ascii="Arial" w:cs="Arial" w:eastAsia="Arial" w:hAnsi="Arial"/>
                <w:b/>
                <w:bCs/>
                <w:color w:val="FFFFFF"/>
                <w:sz w:val="17"/>
                <w:szCs w:val="17"/>
              </w:rPr>
              <w:t xml:space="preserve">Tier (Capital)</w:t>
            </w:r>
          </w:p>
        </w:tc>
        <w:tc>
          <w:tcPr>
            <w:tcW w:type="dxa" w:w="1504"/>
            <w:tcBorders>
              <w:top w:val="single" w:color="E2E8F0" w:sz="1"/>
              <w:left w:val="single" w:color="E2E8F0" w:sz="1"/>
              <w:bottom w:val="single" w:color="E2E8F0" w:sz="1"/>
              <w:right w:val="single" w:color="E2E8F0" w:sz="1"/>
            </w:tcBorders>
            <w:shd w:fill="0F2444" w:val="clear"/>
            <w:tcMar>
              <w:top w:type="dxa" w:w="70"/>
              <w:left w:type="dxa" w:w="80"/>
              <w:bottom w:type="dxa" w:w="70"/>
              <w:right w:type="dxa" w:w="80"/>
            </w:tcMar>
          </w:tcPr>
          <w:p>
            <w:pPr>
              <w:jc w:val="center"/>
            </w:pPr>
            <w:r>
              <w:rPr>
                <w:rFonts w:ascii="Arial" w:cs="Arial" w:eastAsia="Arial" w:hAnsi="Arial"/>
                <w:b/>
                <w:bCs/>
                <w:color w:val="FFFFFF"/>
                <w:sz w:val="17"/>
                <w:szCs w:val="17"/>
              </w:rPr>
              <w:t xml:space="preserve">Founder Equity</w:t>
            </w:r>
          </w:p>
        </w:tc>
        <w:tc>
          <w:tcPr>
            <w:tcW w:type="dxa" w:w="1504"/>
            <w:tcBorders>
              <w:top w:val="single" w:color="E2E8F0" w:sz="1"/>
              <w:left w:val="single" w:color="E2E8F0" w:sz="1"/>
              <w:bottom w:val="single" w:color="E2E8F0" w:sz="1"/>
              <w:right w:val="single" w:color="E2E8F0" w:sz="1"/>
            </w:tcBorders>
            <w:shd w:fill="0F2444" w:val="clear"/>
            <w:tcMar>
              <w:top w:type="dxa" w:w="70"/>
              <w:left w:type="dxa" w:w="80"/>
              <w:bottom w:type="dxa" w:w="70"/>
              <w:right w:type="dxa" w:w="80"/>
            </w:tcMar>
          </w:tcPr>
          <w:p>
            <w:pPr>
              <w:jc w:val="center"/>
            </w:pPr>
            <w:r>
              <w:rPr>
                <w:rFonts w:ascii="Arial" w:cs="Arial" w:eastAsia="Arial" w:hAnsi="Arial"/>
                <w:b/>
                <w:bCs/>
                <w:color w:val="FFFFFF"/>
                <w:sz w:val="17"/>
                <w:szCs w:val="17"/>
              </w:rPr>
              <w:t xml:space="preserve">B+D Cap</w:t>
            </w:r>
          </w:p>
        </w:tc>
        <w:tc>
          <w:tcPr>
            <w:tcW w:type="dxa" w:w="1504"/>
            <w:tcBorders>
              <w:top w:val="single" w:color="E2E8F0" w:sz="1"/>
              <w:left w:val="single" w:color="E2E8F0" w:sz="1"/>
              <w:bottom w:val="single" w:color="E2E8F0" w:sz="1"/>
              <w:right w:val="single" w:color="E2E8F0" w:sz="1"/>
            </w:tcBorders>
            <w:shd w:fill="0F2444" w:val="clear"/>
            <w:tcMar>
              <w:top w:type="dxa" w:w="70"/>
              <w:left w:type="dxa" w:w="80"/>
              <w:bottom w:type="dxa" w:w="70"/>
              <w:right w:type="dxa" w:w="80"/>
            </w:tcMar>
          </w:tcPr>
          <w:p>
            <w:pPr>
              <w:jc w:val="center"/>
            </w:pPr>
            <w:r>
              <w:rPr>
                <w:rFonts w:ascii="Arial" w:cs="Arial" w:eastAsia="Arial" w:hAnsi="Arial"/>
                <w:b/>
                <w:bCs/>
                <w:color w:val="FFFFFF"/>
                <w:sz w:val="17"/>
                <w:szCs w:val="17"/>
              </w:rPr>
              <w:t xml:space="preserve">Founder Cash %</w:t>
            </w:r>
          </w:p>
        </w:tc>
        <w:tc>
          <w:tcPr>
            <w:tcW w:type="dxa" w:w="1504"/>
            <w:tcBorders>
              <w:top w:val="single" w:color="E2E8F0" w:sz="1"/>
              <w:left w:val="single" w:color="E2E8F0" w:sz="1"/>
              <w:bottom w:val="single" w:color="E2E8F0" w:sz="1"/>
              <w:right w:val="single" w:color="E2E8F0" w:sz="1"/>
            </w:tcBorders>
            <w:shd w:fill="0F2444" w:val="clear"/>
            <w:tcMar>
              <w:top w:type="dxa" w:w="70"/>
              <w:left w:type="dxa" w:w="80"/>
              <w:bottom w:type="dxa" w:w="70"/>
              <w:right w:type="dxa" w:w="80"/>
            </w:tcMar>
          </w:tcPr>
          <w:p>
            <w:pPr>
              <w:jc w:val="center"/>
            </w:pPr>
            <w:r>
              <w:rPr>
                <w:rFonts w:ascii="Arial" w:cs="Arial" w:eastAsia="Arial" w:hAnsi="Arial"/>
                <w:b/>
                <w:bCs/>
                <w:color w:val="FFFFFF"/>
                <w:sz w:val="17"/>
                <w:szCs w:val="17"/>
              </w:rPr>
              <w:t xml:space="preserve">Sprint Duration</w:t>
            </w:r>
          </w:p>
        </w:tc>
        <w:tc>
          <w:tcPr>
            <w:tcW w:type="dxa" w:w="1504"/>
            <w:tcBorders>
              <w:top w:val="single" w:color="E2E8F0" w:sz="1"/>
              <w:left w:val="single" w:color="E2E8F0" w:sz="1"/>
              <w:bottom w:val="single" w:color="E2E8F0" w:sz="1"/>
              <w:right w:val="single" w:color="E2E8F0" w:sz="1"/>
            </w:tcBorders>
            <w:shd w:fill="0F2444" w:val="clear"/>
            <w:tcMar>
              <w:top w:type="dxa" w:w="70"/>
              <w:left w:type="dxa" w:w="80"/>
              <w:bottom w:type="dxa" w:w="70"/>
              <w:right w:type="dxa" w:w="80"/>
            </w:tcMar>
          </w:tcPr>
          <w:p>
            <w:pPr>
              <w:jc w:val="center"/>
            </w:pPr>
            <w:r>
              <w:rPr>
                <w:rFonts w:ascii="Arial" w:cs="Arial" w:eastAsia="Arial" w:hAnsi="Arial"/>
                <w:b/>
                <w:bCs/>
                <w:color w:val="FFFFFF"/>
                <w:sz w:val="17"/>
                <w:szCs w:val="17"/>
              </w:rPr>
              <w:t xml:space="preserve">Hrs/Month</w:t>
            </w:r>
          </w:p>
        </w:tc>
      </w:tr>
      <w:tr>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£50,000</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75%</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25%</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67%</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5 months</w:t>
            </w:r>
          </w:p>
        </w:tc>
        <w:tc>
          <w:tcPr>
            <w:tcW w:type="dxa" w:w="1506"/>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400</w:t>
            </w:r>
          </w:p>
        </w:tc>
      </w:tr>
      <w:tr>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£75,000</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80%</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20%</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75%</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7 months</w:t>
            </w:r>
          </w:p>
        </w:tc>
        <w:tc>
          <w:tcPr>
            <w:tcW w:type="dxa" w:w="1506"/>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400</w:t>
            </w:r>
          </w:p>
        </w:tc>
      </w:tr>
      <w:tr>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£120,000</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84%</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16%</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79%</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9 months</w:t>
            </w:r>
          </w:p>
        </w:tc>
        <w:tc>
          <w:tcPr>
            <w:tcW w:type="dxa" w:w="1506"/>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500</w:t>
            </w:r>
          </w:p>
        </w:tc>
      </w:tr>
      <w:tr>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£175,000</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88%</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12%</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83%</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12 months</w:t>
            </w:r>
          </w:p>
        </w:tc>
        <w:tc>
          <w:tcPr>
            <w:tcW w:type="dxa" w:w="1506"/>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600</w:t>
            </w:r>
          </w:p>
        </w:tc>
      </w:tr>
      <w:tr>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£250,000</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91%</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9%</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89%</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16 months</w:t>
            </w:r>
          </w:p>
        </w:tc>
        <w:tc>
          <w:tcPr>
            <w:tcW w:type="dxa" w:w="1506"/>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800</w:t>
            </w:r>
          </w:p>
        </w:tc>
      </w:tr>
    </w:tbl>
    <w:p>
      <w:pPr>
        <w:spacing w:after="40" w:before="40"/>
      </w:pPr>
    </w:p>
    <w:p>
      <w:pPr>
        <w:spacing w:after="80" w:before="40"/>
      </w:pPr>
      <w:r>
        <w:rPr>
          <w:rFonts w:ascii="Arial" w:cs="Arial" w:eastAsia="Arial" w:hAnsi="Arial"/>
          <w:i/>
          <w:iCs/>
          <w:color w:val="64748B"/>
          <w:sz w:val="17"/>
          <w:szCs w:val="17"/>
        </w:rPr>
        <w:t xml:space="preserve">Note: Blended rate: £35/hr. Founder cash % = Founder's share of each Monthly Invoice. B+D equity consideration = balance. Sprint duration = Phase 1. Phase 2 (200 hrs/month x 2 months) available on £50k and £75k tiers subject to separate written agreement.</w:t>
      </w:r>
    </w:p>
    <w:p>
      <w:pPr>
        <w:pageBreakBefore/>
      </w:pPr>
    </w:p>
    <w:p>
      <w:pPr>
        <w:pStyle w:val="Heading1"/>
        <w:spacing w:after="160" w:before="360"/>
      </w:pPr>
      <w:r>
        <w:rPr>
          <w:rFonts w:ascii="Arial" w:cs="Arial" w:eastAsia="Arial" w:hAnsi="Arial"/>
          <w:b/>
          <w:bCs/>
          <w:color w:val="0F2444"/>
          <w:sz w:val="28"/>
          <w:szCs w:val="28"/>
        </w:rPr>
        <w:t xml:space="preserve">SCHEDULE 2 — EQUITY VESTING SCHEDULE (ALL INVESTMENT TIERS)</w:t>
      </w:r>
    </w:p>
    <w:p>
      <w:pPr>
        <w:spacing w:after="100" w:before="60"/>
      </w:pPr>
      <w:r>
        <w:rPr>
          <w:rFonts w:ascii="Arial" w:cs="Arial" w:eastAsia="Arial" w:hAnsi="Arial"/>
          <w:color w:val="333333"/>
          <w:sz w:val="20"/>
          <w:szCs w:val="20"/>
        </w:rPr>
        <w:t xml:space="preserve">Cumulative B+D equity vested at end of each month. * = Month 1 probationary: 0% if exit before month-end, tranche % if month completed. — = programme ended for this tier at this month.</w:t>
      </w:r>
    </w:p>
    <w:p>
      <w:pPr>
        <w:spacing w:after="40" w:before="4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100"/>
        <w:gridCol w:w="1585"/>
        <w:gridCol w:w="1585"/>
        <w:gridCol w:w="1585"/>
        <w:gridCol w:w="1585"/>
        <w:gridCol w:w="1586"/>
      </w:tblGrid>
      <w:tr>
        <w:tc>
          <w:tcPr>
            <w:tcW w:type="dxa" w:w="1100"/>
            <w:tcBorders>
              <w:top w:val="single" w:color="E2E8F0" w:sz="1"/>
              <w:left w:val="single" w:color="E2E8F0" w:sz="1"/>
              <w:bottom w:val="single" w:color="E2E8F0" w:sz="1"/>
              <w:right w:val="single" w:color="E2E8F0" w:sz="1"/>
            </w:tcBorders>
            <w:shd w:fill="0F2444" w:val="clear"/>
            <w:tcMar>
              <w:top w:type="dxa" w:w="70"/>
              <w:left w:type="dxa" w:w="60"/>
              <w:bottom w:type="dxa" w:w="70"/>
              <w:right w:type="dxa" w:w="60"/>
            </w:tcMar>
          </w:tcPr>
          <w:p>
            <w:pPr>
              <w:jc w:val="center"/>
            </w:pPr>
            <w:r>
              <w:rPr>
                <w:rFonts w:ascii="Arial" w:cs="Arial" w:eastAsia="Arial" w:hAnsi="Arial"/>
                <w:b/>
                <w:bCs/>
                <w:color w:val="FFFFFF"/>
                <w:sz w:val="15"/>
                <w:szCs w:val="15"/>
              </w:rPr>
              <w:t xml:space="preserve">Month</w:t>
            </w:r>
          </w:p>
        </w:tc>
        <w:tc>
          <w:tcPr>
            <w:tcW w:type="dxa" w:w="1585"/>
            <w:tcBorders>
              <w:top w:val="single" w:color="E2E8F0" w:sz="1"/>
              <w:left w:val="single" w:color="E2E8F0" w:sz="1"/>
              <w:bottom w:val="single" w:color="E2E8F0" w:sz="1"/>
              <w:right w:val="single" w:color="E2E8F0" w:sz="1"/>
            </w:tcBorders>
            <w:shd w:fill="0F2444" w:val="clear"/>
            <w:tcMar>
              <w:top w:type="dxa" w:w="70"/>
              <w:left w:type="dxa" w:w="60"/>
              <w:bottom w:type="dxa" w:w="70"/>
              <w:right w:type="dxa" w:w="60"/>
            </w:tcMar>
          </w:tcPr>
          <w:p>
            <w:pPr>
              <w:jc w:val="center"/>
            </w:pPr>
            <w:r>
              <w:rPr>
                <w:rFonts w:ascii="Arial" w:cs="Arial" w:eastAsia="Arial" w:hAnsi="Arial"/>
                <w:b/>
                <w:bCs/>
                <w:color w:val="FFFFFF"/>
                <w:sz w:val="15"/>
                <w:szCs w:val="15"/>
              </w:rPr>
              <w:t xml:space="preserve">£50k (25%)</w:t>
            </w:r>
          </w:p>
        </w:tc>
        <w:tc>
          <w:tcPr>
            <w:tcW w:type="dxa" w:w="1585"/>
            <w:tcBorders>
              <w:top w:val="single" w:color="E2E8F0" w:sz="1"/>
              <w:left w:val="single" w:color="E2E8F0" w:sz="1"/>
              <w:bottom w:val="single" w:color="E2E8F0" w:sz="1"/>
              <w:right w:val="single" w:color="E2E8F0" w:sz="1"/>
            </w:tcBorders>
            <w:shd w:fill="0F2444" w:val="clear"/>
            <w:tcMar>
              <w:top w:type="dxa" w:w="70"/>
              <w:left w:type="dxa" w:w="60"/>
              <w:bottom w:type="dxa" w:w="70"/>
              <w:right w:type="dxa" w:w="60"/>
            </w:tcMar>
          </w:tcPr>
          <w:p>
            <w:pPr>
              <w:jc w:val="center"/>
            </w:pPr>
            <w:r>
              <w:rPr>
                <w:rFonts w:ascii="Arial" w:cs="Arial" w:eastAsia="Arial" w:hAnsi="Arial"/>
                <w:b/>
                <w:bCs/>
                <w:color w:val="FFFFFF"/>
                <w:sz w:val="15"/>
                <w:szCs w:val="15"/>
              </w:rPr>
              <w:t xml:space="preserve">£75k (20%)</w:t>
            </w:r>
          </w:p>
        </w:tc>
        <w:tc>
          <w:tcPr>
            <w:tcW w:type="dxa" w:w="1585"/>
            <w:tcBorders>
              <w:top w:val="single" w:color="E2E8F0" w:sz="1"/>
              <w:left w:val="single" w:color="E2E8F0" w:sz="1"/>
              <w:bottom w:val="single" w:color="E2E8F0" w:sz="1"/>
              <w:right w:val="single" w:color="E2E8F0" w:sz="1"/>
            </w:tcBorders>
            <w:shd w:fill="0F2444" w:val="clear"/>
            <w:tcMar>
              <w:top w:type="dxa" w:w="70"/>
              <w:left w:type="dxa" w:w="60"/>
              <w:bottom w:type="dxa" w:w="70"/>
              <w:right w:type="dxa" w:w="60"/>
            </w:tcMar>
          </w:tcPr>
          <w:p>
            <w:pPr>
              <w:jc w:val="center"/>
            </w:pPr>
            <w:r>
              <w:rPr>
                <w:rFonts w:ascii="Arial" w:cs="Arial" w:eastAsia="Arial" w:hAnsi="Arial"/>
                <w:b/>
                <w:bCs/>
                <w:color w:val="FFFFFF"/>
                <w:sz w:val="15"/>
                <w:szCs w:val="15"/>
              </w:rPr>
              <w:t xml:space="preserve">£120k (16%)</w:t>
            </w:r>
          </w:p>
        </w:tc>
        <w:tc>
          <w:tcPr>
            <w:tcW w:type="dxa" w:w="1585"/>
            <w:tcBorders>
              <w:top w:val="single" w:color="E2E8F0" w:sz="1"/>
              <w:left w:val="single" w:color="E2E8F0" w:sz="1"/>
              <w:bottom w:val="single" w:color="E2E8F0" w:sz="1"/>
              <w:right w:val="single" w:color="E2E8F0" w:sz="1"/>
            </w:tcBorders>
            <w:shd w:fill="0F2444" w:val="clear"/>
            <w:tcMar>
              <w:top w:type="dxa" w:w="70"/>
              <w:left w:type="dxa" w:w="60"/>
              <w:bottom w:type="dxa" w:w="70"/>
              <w:right w:type="dxa" w:w="60"/>
            </w:tcMar>
          </w:tcPr>
          <w:p>
            <w:pPr>
              <w:jc w:val="center"/>
            </w:pPr>
            <w:r>
              <w:rPr>
                <w:rFonts w:ascii="Arial" w:cs="Arial" w:eastAsia="Arial" w:hAnsi="Arial"/>
                <w:b/>
                <w:bCs/>
                <w:color w:val="FFFFFF"/>
                <w:sz w:val="15"/>
                <w:szCs w:val="15"/>
              </w:rPr>
              <w:t xml:space="preserve">£175k (12%)</w:t>
            </w:r>
          </w:p>
        </w:tc>
        <w:tc>
          <w:tcPr>
            <w:tcW w:type="dxa" w:w="1586"/>
            <w:tcBorders>
              <w:top w:val="single" w:color="E2E8F0" w:sz="1"/>
              <w:left w:val="single" w:color="E2E8F0" w:sz="1"/>
              <w:bottom w:val="single" w:color="E2E8F0" w:sz="1"/>
              <w:right w:val="single" w:color="E2E8F0" w:sz="1"/>
            </w:tcBorders>
            <w:shd w:fill="0F2444" w:val="clear"/>
            <w:tcMar>
              <w:top w:type="dxa" w:w="70"/>
              <w:left w:type="dxa" w:w="60"/>
              <w:bottom w:type="dxa" w:w="70"/>
              <w:right w:type="dxa" w:w="60"/>
            </w:tcMar>
          </w:tcPr>
          <w:p>
            <w:pPr>
              <w:jc w:val="center"/>
            </w:pPr>
            <w:r>
              <w:rPr>
                <w:rFonts w:ascii="Arial" w:cs="Arial" w:eastAsia="Arial" w:hAnsi="Arial"/>
                <w:b/>
                <w:bCs/>
                <w:color w:val="FFFFFF"/>
                <w:sz w:val="15"/>
                <w:szCs w:val="15"/>
              </w:rPr>
              <w:t xml:space="preserve">£250k (9%)</w:t>
            </w:r>
          </w:p>
        </w:tc>
      </w:tr>
      <w:tr>
        <w:tc>
          <w:tcPr>
            <w:tcW w:type="dxa" w:w="1100"/>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Month 1</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8870A"/>
                <w:sz w:val="15"/>
                <w:szCs w:val="15"/>
              </w:rPr>
              <w:t xml:space="preserve">5.00% *</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8870A"/>
                <w:sz w:val="15"/>
                <w:szCs w:val="15"/>
              </w:rPr>
              <w:t xml:space="preserve">2.86% *</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8870A"/>
                <w:sz w:val="15"/>
                <w:szCs w:val="15"/>
              </w:rPr>
              <w:t xml:space="preserve">1.78% *</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8870A"/>
                <w:sz w:val="15"/>
                <w:szCs w:val="15"/>
              </w:rPr>
              <w:t xml:space="preserve">1.00% *</w:t>
            </w:r>
          </w:p>
        </w:tc>
        <w:tc>
          <w:tcPr>
            <w:tcW w:type="dxa" w:w="1586"/>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8870A"/>
                <w:sz w:val="15"/>
                <w:szCs w:val="15"/>
              </w:rPr>
              <w:t xml:space="preserve">0.56% *</w:t>
            </w:r>
          </w:p>
        </w:tc>
      </w:tr>
      <w:tr>
        <w:tc>
          <w:tcPr>
            <w:tcW w:type="dxa" w:w="1100"/>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Month 2</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10.00%</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5.71%</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3.56%</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2.00%</w:t>
            </w:r>
          </w:p>
        </w:tc>
        <w:tc>
          <w:tcPr>
            <w:tcW w:type="dxa" w:w="1586"/>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1.13%</w:t>
            </w:r>
          </w:p>
        </w:tc>
      </w:tr>
      <w:tr>
        <w:tc>
          <w:tcPr>
            <w:tcW w:type="dxa" w:w="1100"/>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Month 3</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15.00%</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8.57%</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5.33%</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3.00%</w:t>
            </w:r>
          </w:p>
        </w:tc>
        <w:tc>
          <w:tcPr>
            <w:tcW w:type="dxa" w:w="1586"/>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1.69%</w:t>
            </w:r>
          </w:p>
        </w:tc>
      </w:tr>
      <w:tr>
        <w:tc>
          <w:tcPr>
            <w:tcW w:type="dxa" w:w="1100"/>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Month 4</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20.00%</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11.43%</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7.11%</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4.00%</w:t>
            </w:r>
          </w:p>
        </w:tc>
        <w:tc>
          <w:tcPr>
            <w:tcW w:type="dxa" w:w="1586"/>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2.25%</w:t>
            </w:r>
          </w:p>
        </w:tc>
      </w:tr>
      <w:tr>
        <w:tc>
          <w:tcPr>
            <w:tcW w:type="dxa" w:w="1100"/>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Month 5</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25.00%</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14.29%</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8.89%</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5.00%</w:t>
            </w:r>
          </w:p>
        </w:tc>
        <w:tc>
          <w:tcPr>
            <w:tcW w:type="dxa" w:w="1586"/>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2.81%</w:t>
            </w:r>
          </w:p>
        </w:tc>
      </w:tr>
      <w:tr>
        <w:tc>
          <w:tcPr>
            <w:tcW w:type="dxa" w:w="1100"/>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Month 6</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17.14%</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10.67%</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6.00%</w:t>
            </w:r>
          </w:p>
        </w:tc>
        <w:tc>
          <w:tcPr>
            <w:tcW w:type="dxa" w:w="1586"/>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3.38%</w:t>
            </w:r>
          </w:p>
        </w:tc>
      </w:tr>
      <w:tr>
        <w:tc>
          <w:tcPr>
            <w:tcW w:type="dxa" w:w="1100"/>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Month 7</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20.00%</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12.44%</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7.00%</w:t>
            </w:r>
          </w:p>
        </w:tc>
        <w:tc>
          <w:tcPr>
            <w:tcW w:type="dxa" w:w="1586"/>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3.94%</w:t>
            </w:r>
          </w:p>
        </w:tc>
      </w:tr>
      <w:tr>
        <w:tc>
          <w:tcPr>
            <w:tcW w:type="dxa" w:w="1100"/>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Month 8</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14.22%</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8.00%</w:t>
            </w:r>
          </w:p>
        </w:tc>
        <w:tc>
          <w:tcPr>
            <w:tcW w:type="dxa" w:w="1586"/>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4.50%</w:t>
            </w:r>
          </w:p>
        </w:tc>
      </w:tr>
      <w:tr>
        <w:tc>
          <w:tcPr>
            <w:tcW w:type="dxa" w:w="1100"/>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Month 9</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16.00%</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9.00%</w:t>
            </w:r>
          </w:p>
        </w:tc>
        <w:tc>
          <w:tcPr>
            <w:tcW w:type="dxa" w:w="1586"/>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5.06%</w:t>
            </w:r>
          </w:p>
        </w:tc>
      </w:tr>
      <w:tr>
        <w:tc>
          <w:tcPr>
            <w:tcW w:type="dxa" w:w="1100"/>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Month 10</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10.00%</w:t>
            </w:r>
          </w:p>
        </w:tc>
        <w:tc>
          <w:tcPr>
            <w:tcW w:type="dxa" w:w="1586"/>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5.63%</w:t>
            </w:r>
          </w:p>
        </w:tc>
      </w:tr>
      <w:tr>
        <w:tc>
          <w:tcPr>
            <w:tcW w:type="dxa" w:w="1100"/>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Month 11</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11.00%</w:t>
            </w:r>
          </w:p>
        </w:tc>
        <w:tc>
          <w:tcPr>
            <w:tcW w:type="dxa" w:w="1586"/>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6.19%</w:t>
            </w:r>
          </w:p>
        </w:tc>
      </w:tr>
      <w:tr>
        <w:tc>
          <w:tcPr>
            <w:tcW w:type="dxa" w:w="1100"/>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Month 12</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12.00%</w:t>
            </w:r>
          </w:p>
        </w:tc>
        <w:tc>
          <w:tcPr>
            <w:tcW w:type="dxa" w:w="1586"/>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6.75%</w:t>
            </w:r>
          </w:p>
        </w:tc>
      </w:tr>
      <w:tr>
        <w:tc>
          <w:tcPr>
            <w:tcW w:type="dxa" w:w="1100"/>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Month 13</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6"/>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7.31%</w:t>
            </w:r>
          </w:p>
        </w:tc>
      </w:tr>
      <w:tr>
        <w:tc>
          <w:tcPr>
            <w:tcW w:type="dxa" w:w="1100"/>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Month 14</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6"/>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7.88%</w:t>
            </w:r>
          </w:p>
        </w:tc>
      </w:tr>
      <w:tr>
        <w:tc>
          <w:tcPr>
            <w:tcW w:type="dxa" w:w="1100"/>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Month 15</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6"/>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8.44%</w:t>
            </w:r>
          </w:p>
        </w:tc>
      </w:tr>
      <w:tr>
        <w:tc>
          <w:tcPr>
            <w:tcW w:type="dxa" w:w="1100"/>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Month 16</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6"/>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9.00%</w:t>
            </w:r>
          </w:p>
        </w:tc>
      </w:tr>
    </w:tbl>
    <w:p>
      <w:pPr>
        <w:spacing w:after="40" w:before="40"/>
      </w:pPr>
    </w:p>
    <w:p>
      <w:pPr>
        <w:spacing w:after="80" w:before="40"/>
      </w:pPr>
      <w:r>
        <w:rPr>
          <w:rFonts w:ascii="Arial" w:cs="Arial" w:eastAsia="Arial" w:hAnsi="Arial"/>
          <w:i/>
          <w:iCs/>
          <w:color w:val="64748B"/>
          <w:sz w:val="17"/>
          <w:szCs w:val="17"/>
        </w:rPr>
        <w:t xml:space="preserve">Note: Monthly tranche per tier: £50k = 5.00%  ·  £75k = 2.86%  ·  £120k = 1.78%  ·  £175k = 1.00%  ·  £250k = 0.56% (rounded; last tranche adjusted to reach exactly the Equity Cap). All tranches vest on last Business Day of each completed month.</w:t>
      </w:r>
    </w:p>
    <w:p>
      <w:pPr>
        <w:pageBreakBefore/>
      </w:pPr>
    </w:p>
    <w:p>
      <w:pPr>
        <w:pStyle w:val="Heading1"/>
        <w:spacing w:after="160" w:before="360"/>
      </w:pPr>
      <w:r>
        <w:rPr>
          <w:rFonts w:ascii="Arial" w:cs="Arial" w:eastAsia="Arial" w:hAnsi="Arial"/>
          <w:b/>
          <w:bCs/>
          <w:color w:val="0F2444"/>
          <w:sz w:val="28"/>
          <w:szCs w:val="28"/>
        </w:rPr>
        <w:t xml:space="preserve">SCHEDULE 3 — NOTICE DETAILS</w:t>
      </w:r>
    </w:p>
    <w:p>
      <w:pPr>
        <w:spacing w:after="40" w:before="4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800"/>
        <w:gridCol w:w="6226"/>
      </w:tblGrid>
      <w:tr>
        <w:tc>
          <w:tcPr>
            <w:tcW w:type="dxa" w:w="2800"/>
            <w:tcBorders>
              <w:top w:val="single" w:color="E2E8F0" w:sz="1"/>
              <w:left w:val="single" w:color="E2E8F0" w:sz="1"/>
              <w:bottom w:val="single" w:color="E2E8F0" w:sz="1"/>
              <w:right w:val="single" w:color="E2E8F0" w:sz="1"/>
            </w:tcBorders>
            <w:shd w:fill="0F2444" w:val="clear"/>
            <w:tcMar>
              <w:top w:type="dxa" w:w="70"/>
              <w:left w:type="dxa" w:w="100"/>
              <w:bottom w:type="dxa" w:w="70"/>
              <w:right w:type="dxa" w:w="100"/>
            </w:tcMar>
          </w:tcPr>
          <w:p>
            <w:r>
              <w:rPr>
                <w:rFonts w:ascii="Arial" w:cs="Arial" w:eastAsia="Arial" w:hAnsi="Arial"/>
                <w:b/>
                <w:bCs/>
                <w:color w:val="FFFFFF"/>
                <w:sz w:val="18"/>
                <w:szCs w:val="18"/>
              </w:rPr>
              <w:t xml:space="preserve">Party</w:t>
            </w:r>
          </w:p>
        </w:tc>
        <w:tc>
          <w:tcPr>
            <w:tcW w:type="dxa" w:w="2800"/>
            <w:tcBorders>
              <w:top w:val="single" w:color="E2E8F0" w:sz="1"/>
              <w:left w:val="single" w:color="E2E8F0" w:sz="1"/>
              <w:bottom w:val="single" w:color="E2E8F0" w:sz="1"/>
              <w:right w:val="single" w:color="E2E8F0" w:sz="1"/>
            </w:tcBorders>
            <w:shd w:fill="0F2444" w:val="clear"/>
            <w:tcMar>
              <w:top w:type="dxa" w:w="70"/>
              <w:left w:type="dxa" w:w="100"/>
              <w:bottom w:type="dxa" w:w="70"/>
              <w:right w:type="dxa" w:w="100"/>
            </w:tcMar>
          </w:tcPr>
          <w:p>
            <w:r>
              <w:rPr>
                <w:rFonts w:ascii="Arial" w:cs="Arial" w:eastAsia="Arial" w:hAnsi="Arial"/>
                <w:b/>
                <w:bCs/>
                <w:color w:val="FFFFFF"/>
                <w:sz w:val="18"/>
                <w:szCs w:val="18"/>
              </w:rPr>
              <w:t xml:space="preserve">Contact Details</w:t>
            </w:r>
          </w:p>
        </w:tc>
      </w:tr>
      <w:tr>
        <w:tc>
          <w:tcPr>
            <w:tcW w:type="dxa" w:w="2800"/>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val="false"/>
                <w:iCs w:val="false"/>
                <w:color w:val="333333"/>
                <w:sz w:val="18"/>
                <w:szCs w:val="18"/>
              </w:rPr>
              <w:t xml:space="preserve">The Founder</w:t>
            </w:r>
          </w:p>
        </w:tc>
        <w:tc>
          <w:tcPr>
            <w:tcW w:type="dxa" w:w="6226"/>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iCs/>
                <w:color w:val="64748B"/>
                <w:sz w:val="18"/>
                <w:szCs w:val="18"/>
              </w:rPr>
              <w:t xml:space="preserve">[Full Name · Email · Address]</w:t>
            </w:r>
          </w:p>
        </w:tc>
      </w:tr>
      <w:tr>
        <w:tc>
          <w:tcPr>
            <w:tcW w:type="dxa" w:w="2800"/>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val="false"/>
                <w:iCs w:val="false"/>
                <w:color w:val="333333"/>
                <w:sz w:val="18"/>
                <w:szCs w:val="18"/>
              </w:rPr>
              <w:t xml:space="preserve">B+D (Macaire Solutions Ltd)</w:t>
            </w:r>
          </w:p>
        </w:tc>
        <w:tc>
          <w:tcPr>
            <w:tcW w:type="dxa" w:w="6226"/>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val="false"/>
                <w:iCs w:val="false"/>
                <w:color w:val="333333"/>
                <w:sz w:val="18"/>
                <w:szCs w:val="18"/>
              </w:rPr>
              <w:t xml:space="preserve">Piyush Mishra · info@founder75.com · [Registered address]</w:t>
            </w:r>
          </w:p>
        </w:tc>
      </w:tr>
      <w:tr>
        <w:tc>
          <w:tcPr>
            <w:tcW w:type="dxa" w:w="2800"/>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val="false"/>
                <w:iCs w:val="false"/>
                <w:color w:val="333333"/>
                <w:sz w:val="18"/>
                <w:szCs w:val="18"/>
              </w:rPr>
              <w:t xml:space="preserve">The Company</w:t>
            </w:r>
          </w:p>
        </w:tc>
        <w:tc>
          <w:tcPr>
            <w:tcW w:type="dxa" w:w="6226"/>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iCs/>
                <w:color w:val="64748B"/>
                <w:sz w:val="18"/>
                <w:szCs w:val="18"/>
              </w:rPr>
              <w:t xml:space="preserve">[Registered office — completed on incorporation]</w:t>
            </w:r>
          </w:p>
        </w:tc>
      </w:tr>
    </w:tbl>
    <w:p>
      <w:pPr>
        <w:pageBreakBefore/>
      </w:pPr>
    </w:p>
    <w:p>
      <w:pPr>
        <w:pStyle w:val="Heading1"/>
        <w:spacing w:after="160" w:before="360"/>
      </w:pPr>
      <w:r>
        <w:rPr>
          <w:rFonts w:ascii="Arial" w:cs="Arial" w:eastAsia="Arial" w:hAnsi="Arial"/>
          <w:b/>
          <w:bCs/>
          <w:color w:val="0F2444"/>
          <w:sz w:val="28"/>
          <w:szCs w:val="28"/>
        </w:rPr>
        <w:t xml:space="preserve">SCHEDULE 4 — KEY PERSONNEL</w:t>
      </w:r>
    </w:p>
    <w:p>
      <w:pPr>
        <w:spacing w:after="40" w:before="4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026"/>
      </w:tblGrid>
      <w:tr>
        <w:tc>
          <w:tcPr>
            <w:tcW w:type="dxa" w:w="3000"/>
            <w:tcBorders>
              <w:top w:val="single" w:color="E2E8F0" w:sz="1"/>
              <w:left w:val="single" w:color="E2E8F0" w:sz="1"/>
              <w:bottom w:val="single" w:color="E2E8F0" w:sz="1"/>
              <w:right w:val="single" w:color="E2E8F0" w:sz="1"/>
            </w:tcBorders>
            <w:shd w:fill="0F2444" w:val="clear"/>
            <w:tcMar>
              <w:top w:type="dxa" w:w="70"/>
              <w:left w:type="dxa" w:w="100"/>
              <w:bottom w:type="dxa" w:w="70"/>
              <w:right w:type="dxa" w:w="100"/>
            </w:tcMar>
          </w:tcPr>
          <w:p>
            <w:r>
              <w:rPr>
                <w:rFonts w:ascii="Arial" w:cs="Arial" w:eastAsia="Arial" w:hAnsi="Arial"/>
                <w:b/>
                <w:bCs/>
                <w:color w:val="FFFFFF"/>
                <w:sz w:val="18"/>
                <w:szCs w:val="18"/>
              </w:rPr>
              <w:t xml:space="preserve">Name</w:t>
            </w:r>
          </w:p>
        </w:tc>
        <w:tc>
          <w:tcPr>
            <w:tcW w:type="dxa" w:w="3000"/>
            <w:tcBorders>
              <w:top w:val="single" w:color="E2E8F0" w:sz="1"/>
              <w:left w:val="single" w:color="E2E8F0" w:sz="1"/>
              <w:bottom w:val="single" w:color="E2E8F0" w:sz="1"/>
              <w:right w:val="single" w:color="E2E8F0" w:sz="1"/>
            </w:tcBorders>
            <w:shd w:fill="0F2444" w:val="clear"/>
            <w:tcMar>
              <w:top w:type="dxa" w:w="70"/>
              <w:left w:type="dxa" w:w="100"/>
              <w:bottom w:type="dxa" w:w="70"/>
              <w:right w:type="dxa" w:w="100"/>
            </w:tcMar>
          </w:tcPr>
          <w:p>
            <w:r>
              <w:rPr>
                <w:rFonts w:ascii="Arial" w:cs="Arial" w:eastAsia="Arial" w:hAnsi="Arial"/>
                <w:b/>
                <w:bCs/>
                <w:color w:val="FFFFFF"/>
                <w:sz w:val="18"/>
                <w:szCs w:val="18"/>
              </w:rPr>
              <w:t xml:space="preserve">Role</w:t>
            </w:r>
          </w:p>
        </w:tc>
        <w:tc>
          <w:tcPr>
            <w:tcW w:type="dxa" w:w="3026"/>
            <w:tcBorders>
              <w:top w:val="single" w:color="E2E8F0" w:sz="1"/>
              <w:left w:val="single" w:color="E2E8F0" w:sz="1"/>
              <w:bottom w:val="single" w:color="E2E8F0" w:sz="1"/>
              <w:right w:val="single" w:color="E2E8F0" w:sz="1"/>
            </w:tcBorders>
            <w:shd w:fill="0F2444" w:val="clear"/>
            <w:tcMar>
              <w:top w:type="dxa" w:w="70"/>
              <w:left w:type="dxa" w:w="100"/>
              <w:bottom w:type="dxa" w:w="70"/>
              <w:right w:type="dxa" w:w="100"/>
            </w:tcMar>
          </w:tcPr>
          <w:p>
            <w:r>
              <w:rPr>
                <w:rFonts w:ascii="Arial" w:cs="Arial" w:eastAsia="Arial" w:hAnsi="Arial"/>
                <w:b/>
                <w:bCs/>
                <w:color w:val="FFFFFF"/>
                <w:sz w:val="18"/>
                <w:szCs w:val="18"/>
              </w:rPr>
              <w:t xml:space="preserve">Min. Hours/Week</w:t>
            </w:r>
          </w:p>
        </w:tc>
      </w:tr>
      <w:tr>
        <w:tc>
          <w:tcPr>
            <w:tcW w:type="dxa" w:w="3000"/>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iCs/>
                <w:color w:val="64748B"/>
                <w:sz w:val="18"/>
                <w:szCs w:val="18"/>
              </w:rPr>
              <w:t xml:space="preserve">[Name]</w:t>
            </w:r>
          </w:p>
        </w:tc>
        <w:tc>
          <w:tcPr>
            <w:tcW w:type="dxa" w:w="3000"/>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iCs/>
                <w:color w:val="64748B"/>
                <w:sz w:val="18"/>
                <w:szCs w:val="18"/>
              </w:rPr>
              <w:t xml:space="preserve">[Role — e.g. Lead Engineer]</w:t>
            </w:r>
          </w:p>
        </w:tc>
        <w:tc>
          <w:tcPr>
            <w:tcW w:type="dxa" w:w="3026"/>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iCs/>
                <w:color w:val="64748B"/>
                <w:sz w:val="18"/>
                <w:szCs w:val="18"/>
              </w:rPr>
              <w:t xml:space="preserve">[X hrs]</w:t>
            </w:r>
          </w:p>
        </w:tc>
      </w:tr>
      <w:tr>
        <w:tc>
          <w:tcPr>
            <w:tcW w:type="dxa" w:w="3000"/>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iCs/>
                <w:color w:val="64748B"/>
                <w:sz w:val="18"/>
                <w:szCs w:val="18"/>
              </w:rPr>
              <w:t xml:space="preserve">[Name]</w:t>
            </w:r>
          </w:p>
        </w:tc>
        <w:tc>
          <w:tcPr>
            <w:tcW w:type="dxa" w:w="3000"/>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iCs/>
                <w:color w:val="64748B"/>
                <w:sz w:val="18"/>
                <w:szCs w:val="18"/>
              </w:rPr>
              <w:t xml:space="preserve">[Role — e.g. Growth Lead]</w:t>
            </w:r>
          </w:p>
        </w:tc>
        <w:tc>
          <w:tcPr>
            <w:tcW w:type="dxa" w:w="3026"/>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iCs/>
                <w:color w:val="64748B"/>
                <w:sz w:val="18"/>
                <w:szCs w:val="18"/>
              </w:rPr>
              <w:t xml:space="preserve">[X hrs]</w:t>
            </w:r>
          </w:p>
        </w:tc>
      </w:tr>
      <w:tr>
        <w:tc>
          <w:tcPr>
            <w:tcW w:type="dxa" w:w="3000"/>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iCs/>
                <w:color w:val="64748B"/>
                <w:sz w:val="18"/>
                <w:szCs w:val="18"/>
              </w:rPr>
              <w:t xml:space="preserve">[Name]</w:t>
            </w:r>
          </w:p>
        </w:tc>
        <w:tc>
          <w:tcPr>
            <w:tcW w:type="dxa" w:w="3000"/>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iCs/>
                <w:color w:val="64748B"/>
                <w:sz w:val="18"/>
                <w:szCs w:val="18"/>
              </w:rPr>
              <w:t xml:space="preserve">[Role — e.g. Product Manager]</w:t>
            </w:r>
          </w:p>
        </w:tc>
        <w:tc>
          <w:tcPr>
            <w:tcW w:type="dxa" w:w="3026"/>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iCs/>
                <w:color w:val="64748B"/>
                <w:sz w:val="18"/>
                <w:szCs w:val="18"/>
              </w:rPr>
              <w:t xml:space="preserve">[X hrs]</w:t>
            </w:r>
          </w:p>
        </w:tc>
      </w:tr>
    </w:tbl>
    <w:p>
      <w:pPr>
        <w:spacing w:after="40" w:before="40"/>
      </w:pPr>
    </w:p>
    <w:p>
      <w:pPr>
        <w:spacing w:after="80" w:before="40"/>
      </w:pPr>
      <w:r>
        <w:rPr>
          <w:rFonts w:ascii="Arial" w:cs="Arial" w:eastAsia="Arial" w:hAnsi="Arial"/>
          <w:i/>
          <w:iCs/>
          <w:color w:val="64748B"/>
          <w:sz w:val="17"/>
          <w:szCs w:val="17"/>
        </w:rPr>
        <w:t xml:space="preserve">Note: To be completed at or before Completion Date with named individuals, roles, and minimum weekly hours.</w:t>
      </w:r>
    </w:p>
    <w:p>
      <w:pPr>
        <w:pageBreakBefore/>
      </w:pPr>
    </w:p>
    <w:p>
      <w:pPr>
        <w:pStyle w:val="Heading1"/>
        <w:spacing w:after="160" w:before="360"/>
      </w:pPr>
      <w:r>
        <w:rPr>
          <w:rFonts w:ascii="Arial" w:cs="Arial" w:eastAsia="Arial" w:hAnsi="Arial"/>
          <w:b/>
          <w:bCs/>
          <w:color w:val="0F2444"/>
          <w:sz w:val="28"/>
          <w:szCs w:val="28"/>
        </w:rPr>
        <w:t xml:space="preserve">SIGNATURE PAGE</w:t>
      </w:r>
    </w:p>
    <w:p>
      <w:pPr>
        <w:pBdr>
          <w:bottom w:val="single" w:color="E2E8F0" w:sz="4"/>
        </w:pBdr>
        <w:spacing w:after="100" w:before="100"/>
      </w:pPr>
    </w:p>
    <w:p>
      <w:pPr>
        <w:spacing w:after="40" w:before="40"/>
      </w:pPr>
    </w:p>
    <w:p>
      <w:pPr>
        <w:spacing w:after="100" w:before="60"/>
      </w:pPr>
      <w:r>
        <w:rPr>
          <w:rFonts w:ascii="Arial" w:cs="Arial" w:eastAsia="Arial" w:hAnsi="Arial"/>
          <w:color w:val="333333"/>
          <w:sz w:val="20"/>
          <w:szCs w:val="20"/>
        </w:rPr>
        <w:t xml:space="preserve">SIGNED by the Founder:</w:t>
      </w:r>
    </w:p>
    <w:p>
      <w:pPr>
        <w:spacing w:after="40" w:before="40"/>
      </w:pPr>
    </w:p>
    <w:p>
      <w:pPr>
        <w:spacing w:after="100" w:before="60"/>
      </w:pPr>
      <w:r>
        <w:rPr>
          <w:rFonts w:ascii="Arial" w:cs="Arial" w:eastAsia="Arial" w:hAnsi="Arial"/>
          <w:color w:val="333333"/>
          <w:sz w:val="20"/>
          <w:szCs w:val="20"/>
        </w:rPr>
        <w:t xml:space="preserve">Name: _____________________________________________</w:t>
      </w:r>
    </w:p>
    <w:p>
      <w:pPr>
        <w:spacing w:after="100" w:before="60"/>
      </w:pPr>
      <w:r>
        <w:rPr>
          <w:rFonts w:ascii="Arial" w:cs="Arial" w:eastAsia="Arial" w:hAnsi="Arial"/>
          <w:color w:val="333333"/>
          <w:sz w:val="20"/>
          <w:szCs w:val="20"/>
        </w:rPr>
        <w:t xml:space="preserve">Signature: _________________________   Date: ______________</w:t>
      </w:r>
    </w:p>
    <w:p>
      <w:pPr>
        <w:spacing w:after="40" w:before="40"/>
      </w:pPr>
    </w:p>
    <w:p>
      <w:pPr>
        <w:spacing w:after="40" w:before="40"/>
      </w:pPr>
    </w:p>
    <w:p>
      <w:pPr>
        <w:spacing w:after="100" w:before="60"/>
      </w:pPr>
      <w:r>
        <w:rPr>
          <w:rFonts w:ascii="Arial" w:cs="Arial" w:eastAsia="Arial" w:hAnsi="Arial"/>
          <w:color w:val="333333"/>
          <w:sz w:val="20"/>
          <w:szCs w:val="20"/>
        </w:rPr>
        <w:t xml:space="preserve">SIGNED for and on behalf of Macaire Solutions Ltd (CH: 15754659):</w:t>
      </w:r>
    </w:p>
    <w:p>
      <w:pPr>
        <w:spacing w:after="40" w:before="40"/>
      </w:pPr>
    </w:p>
    <w:p>
      <w:pPr>
        <w:spacing w:after="100" w:before="60"/>
      </w:pPr>
      <w:r>
        <w:rPr>
          <w:rFonts w:ascii="Arial" w:cs="Arial" w:eastAsia="Arial" w:hAnsi="Arial"/>
          <w:color w:val="333333"/>
          <w:sz w:val="20"/>
          <w:szCs w:val="20"/>
        </w:rPr>
        <w:t xml:space="preserve">Name: Piyush Mishra   |   Director</w:t>
      </w:r>
    </w:p>
    <w:p>
      <w:pPr>
        <w:spacing w:after="100" w:before="60"/>
      </w:pPr>
      <w:r>
        <w:rPr>
          <w:rFonts w:ascii="Arial" w:cs="Arial" w:eastAsia="Arial" w:hAnsi="Arial"/>
          <w:color w:val="333333"/>
          <w:sz w:val="20"/>
          <w:szCs w:val="20"/>
        </w:rPr>
        <w:t xml:space="preserve">Signature: _________________________   Date: ______________</w:t>
      </w:r>
    </w:p>
    <w:p>
      <w:pPr>
        <w:spacing w:after="40" w:before="40"/>
      </w:pPr>
    </w:p>
    <w:p>
      <w:pPr>
        <w:spacing w:after="40" w:before="40"/>
      </w:pPr>
    </w:p>
    <w:p>
      <w:pPr>
        <w:spacing w:after="100" w:before="60"/>
      </w:pPr>
      <w:r>
        <w:rPr>
          <w:rFonts w:ascii="Arial" w:cs="Arial" w:eastAsia="Arial" w:hAnsi="Arial"/>
          <w:color w:val="333333"/>
          <w:sz w:val="20"/>
          <w:szCs w:val="20"/>
        </w:rPr>
        <w:t xml:space="preserve">SIGNED on behalf of the Company (to be executed post-incorporation):</w:t>
      </w:r>
    </w:p>
    <w:p>
      <w:pPr>
        <w:spacing w:after="40" w:before="40"/>
      </w:pPr>
    </w:p>
    <w:p>
      <w:pPr>
        <w:spacing w:after="100" w:before="60"/>
      </w:pPr>
      <w:r>
        <w:rPr>
          <w:rFonts w:ascii="Arial" w:cs="Arial" w:eastAsia="Arial" w:hAnsi="Arial"/>
          <w:color w:val="333333"/>
          <w:sz w:val="20"/>
          <w:szCs w:val="20"/>
        </w:rPr>
        <w:t xml:space="preserve">Name: _____________________________________________   |   Director, [COMPANY NAME] Ltd</w:t>
      </w:r>
    </w:p>
    <w:p>
      <w:pPr>
        <w:spacing w:after="100" w:before="60"/>
      </w:pPr>
      <w:r>
        <w:rPr>
          <w:rFonts w:ascii="Arial" w:cs="Arial" w:eastAsia="Arial" w:hAnsi="Arial"/>
          <w:color w:val="333333"/>
          <w:sz w:val="20"/>
          <w:szCs w:val="20"/>
        </w:rPr>
        <w:t xml:space="preserve">Signature: _________________________   Date: ______________</w:t>
      </w:r>
    </w:p>
    <w:p>
      <w:pPr>
        <w:pageBreakBefore/>
      </w:pPr>
    </w:p>
    <w:p>
      <w:pPr>
        <w:pStyle w:val="Heading1"/>
        <w:spacing w:after="160" w:before="360"/>
      </w:pPr>
      <w:r>
        <w:rPr>
          <w:rFonts w:ascii="Arial" w:cs="Arial" w:eastAsia="Arial" w:hAnsi="Arial"/>
          <w:b/>
          <w:bCs/>
          <w:color w:val="0F2444"/>
          <w:sz w:val="28"/>
          <w:szCs w:val="28"/>
        </w:rPr>
        <w:t xml:space="preserve">SCHEDULE 1 — INVESTMENT TIERS</w:t>
      </w:r>
    </w:p>
    <w:p>
      <w:pPr>
        <w:spacing w:after="40" w:before="4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504"/>
        <w:gridCol w:w="1504"/>
        <w:gridCol w:w="1504"/>
        <w:gridCol w:w="1504"/>
        <w:gridCol w:w="1504"/>
        <w:gridCol w:w="1506"/>
      </w:tblGrid>
      <w:tr>
        <w:tc>
          <w:tcPr>
            <w:tcW w:type="dxa" w:w="1504"/>
            <w:tcBorders>
              <w:top w:val="single" w:color="E2E8F0" w:sz="1"/>
              <w:left w:val="single" w:color="E2E8F0" w:sz="1"/>
              <w:bottom w:val="single" w:color="E2E8F0" w:sz="1"/>
              <w:right w:val="single" w:color="E2E8F0" w:sz="1"/>
            </w:tcBorders>
            <w:shd w:fill="0F2444" w:val="clear"/>
            <w:tcMar>
              <w:top w:type="dxa" w:w="70"/>
              <w:left w:type="dxa" w:w="80"/>
              <w:bottom w:type="dxa" w:w="70"/>
              <w:right w:type="dxa" w:w="80"/>
            </w:tcMar>
          </w:tcPr>
          <w:p>
            <w:pPr>
              <w:jc w:val="center"/>
            </w:pPr>
            <w:r>
              <w:rPr>
                <w:rFonts w:ascii="Arial" w:cs="Arial" w:eastAsia="Arial" w:hAnsi="Arial"/>
                <w:b/>
                <w:bCs/>
                <w:color w:val="FFFFFF"/>
                <w:sz w:val="17"/>
                <w:szCs w:val="17"/>
              </w:rPr>
              <w:t xml:space="preserve">Tier (Capital)</w:t>
            </w:r>
          </w:p>
        </w:tc>
        <w:tc>
          <w:tcPr>
            <w:tcW w:type="dxa" w:w="1504"/>
            <w:tcBorders>
              <w:top w:val="single" w:color="E2E8F0" w:sz="1"/>
              <w:left w:val="single" w:color="E2E8F0" w:sz="1"/>
              <w:bottom w:val="single" w:color="E2E8F0" w:sz="1"/>
              <w:right w:val="single" w:color="E2E8F0" w:sz="1"/>
            </w:tcBorders>
            <w:shd w:fill="0F2444" w:val="clear"/>
            <w:tcMar>
              <w:top w:type="dxa" w:w="70"/>
              <w:left w:type="dxa" w:w="80"/>
              <w:bottom w:type="dxa" w:w="70"/>
              <w:right w:type="dxa" w:w="80"/>
            </w:tcMar>
          </w:tcPr>
          <w:p>
            <w:pPr>
              <w:jc w:val="center"/>
            </w:pPr>
            <w:r>
              <w:rPr>
                <w:rFonts w:ascii="Arial" w:cs="Arial" w:eastAsia="Arial" w:hAnsi="Arial"/>
                <w:b/>
                <w:bCs/>
                <w:color w:val="FFFFFF"/>
                <w:sz w:val="17"/>
                <w:szCs w:val="17"/>
              </w:rPr>
              <w:t xml:space="preserve">Founder Equity</w:t>
            </w:r>
          </w:p>
        </w:tc>
        <w:tc>
          <w:tcPr>
            <w:tcW w:type="dxa" w:w="1504"/>
            <w:tcBorders>
              <w:top w:val="single" w:color="E2E8F0" w:sz="1"/>
              <w:left w:val="single" w:color="E2E8F0" w:sz="1"/>
              <w:bottom w:val="single" w:color="E2E8F0" w:sz="1"/>
              <w:right w:val="single" w:color="E2E8F0" w:sz="1"/>
            </w:tcBorders>
            <w:shd w:fill="0F2444" w:val="clear"/>
            <w:tcMar>
              <w:top w:type="dxa" w:w="70"/>
              <w:left w:type="dxa" w:w="80"/>
              <w:bottom w:type="dxa" w:w="70"/>
              <w:right w:type="dxa" w:w="80"/>
            </w:tcMar>
          </w:tcPr>
          <w:p>
            <w:pPr>
              <w:jc w:val="center"/>
            </w:pPr>
            <w:r>
              <w:rPr>
                <w:rFonts w:ascii="Arial" w:cs="Arial" w:eastAsia="Arial" w:hAnsi="Arial"/>
                <w:b/>
                <w:bCs/>
                <w:color w:val="FFFFFF"/>
                <w:sz w:val="17"/>
                <w:szCs w:val="17"/>
              </w:rPr>
              <w:t xml:space="preserve">B+D Cap</w:t>
            </w:r>
          </w:p>
        </w:tc>
        <w:tc>
          <w:tcPr>
            <w:tcW w:type="dxa" w:w="1504"/>
            <w:tcBorders>
              <w:top w:val="single" w:color="E2E8F0" w:sz="1"/>
              <w:left w:val="single" w:color="E2E8F0" w:sz="1"/>
              <w:bottom w:val="single" w:color="E2E8F0" w:sz="1"/>
              <w:right w:val="single" w:color="E2E8F0" w:sz="1"/>
            </w:tcBorders>
            <w:shd w:fill="0F2444" w:val="clear"/>
            <w:tcMar>
              <w:top w:type="dxa" w:w="70"/>
              <w:left w:type="dxa" w:w="80"/>
              <w:bottom w:type="dxa" w:w="70"/>
              <w:right w:type="dxa" w:w="80"/>
            </w:tcMar>
          </w:tcPr>
          <w:p>
            <w:pPr>
              <w:jc w:val="center"/>
            </w:pPr>
            <w:r>
              <w:rPr>
                <w:rFonts w:ascii="Arial" w:cs="Arial" w:eastAsia="Arial" w:hAnsi="Arial"/>
                <w:b/>
                <w:bCs/>
                <w:color w:val="FFFFFF"/>
                <w:sz w:val="17"/>
                <w:szCs w:val="17"/>
              </w:rPr>
              <w:t xml:space="preserve">Founder Cash %</w:t>
            </w:r>
          </w:p>
        </w:tc>
        <w:tc>
          <w:tcPr>
            <w:tcW w:type="dxa" w:w="1504"/>
            <w:tcBorders>
              <w:top w:val="single" w:color="E2E8F0" w:sz="1"/>
              <w:left w:val="single" w:color="E2E8F0" w:sz="1"/>
              <w:bottom w:val="single" w:color="E2E8F0" w:sz="1"/>
              <w:right w:val="single" w:color="E2E8F0" w:sz="1"/>
            </w:tcBorders>
            <w:shd w:fill="0F2444" w:val="clear"/>
            <w:tcMar>
              <w:top w:type="dxa" w:w="70"/>
              <w:left w:type="dxa" w:w="80"/>
              <w:bottom w:type="dxa" w:w="70"/>
              <w:right w:type="dxa" w:w="80"/>
            </w:tcMar>
          </w:tcPr>
          <w:p>
            <w:pPr>
              <w:jc w:val="center"/>
            </w:pPr>
            <w:r>
              <w:rPr>
                <w:rFonts w:ascii="Arial" w:cs="Arial" w:eastAsia="Arial" w:hAnsi="Arial"/>
                <w:b/>
                <w:bCs/>
                <w:color w:val="FFFFFF"/>
                <w:sz w:val="17"/>
                <w:szCs w:val="17"/>
              </w:rPr>
              <w:t xml:space="preserve">Sprint Duration</w:t>
            </w:r>
          </w:p>
        </w:tc>
        <w:tc>
          <w:tcPr>
            <w:tcW w:type="dxa" w:w="1504"/>
            <w:tcBorders>
              <w:top w:val="single" w:color="E2E8F0" w:sz="1"/>
              <w:left w:val="single" w:color="E2E8F0" w:sz="1"/>
              <w:bottom w:val="single" w:color="E2E8F0" w:sz="1"/>
              <w:right w:val="single" w:color="E2E8F0" w:sz="1"/>
            </w:tcBorders>
            <w:shd w:fill="0F2444" w:val="clear"/>
            <w:tcMar>
              <w:top w:type="dxa" w:w="70"/>
              <w:left w:type="dxa" w:w="80"/>
              <w:bottom w:type="dxa" w:w="70"/>
              <w:right w:type="dxa" w:w="80"/>
            </w:tcMar>
          </w:tcPr>
          <w:p>
            <w:pPr>
              <w:jc w:val="center"/>
            </w:pPr>
            <w:r>
              <w:rPr>
                <w:rFonts w:ascii="Arial" w:cs="Arial" w:eastAsia="Arial" w:hAnsi="Arial"/>
                <w:b/>
                <w:bCs/>
                <w:color w:val="FFFFFF"/>
                <w:sz w:val="17"/>
                <w:szCs w:val="17"/>
              </w:rPr>
              <w:t xml:space="preserve">Hrs/Month</w:t>
            </w:r>
          </w:p>
        </w:tc>
      </w:tr>
      <w:tr>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£50,000</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75%</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25%</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67%</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5 months</w:t>
            </w:r>
          </w:p>
        </w:tc>
        <w:tc>
          <w:tcPr>
            <w:tcW w:type="dxa" w:w="1506"/>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400</w:t>
            </w:r>
          </w:p>
        </w:tc>
      </w:tr>
      <w:tr>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£75,000</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80%</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20%</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75%</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7 months</w:t>
            </w:r>
          </w:p>
        </w:tc>
        <w:tc>
          <w:tcPr>
            <w:tcW w:type="dxa" w:w="1506"/>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400</w:t>
            </w:r>
          </w:p>
        </w:tc>
      </w:tr>
      <w:tr>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£120,000</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84%</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16%</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79%</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9 months</w:t>
            </w:r>
          </w:p>
        </w:tc>
        <w:tc>
          <w:tcPr>
            <w:tcW w:type="dxa" w:w="1506"/>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500</w:t>
            </w:r>
          </w:p>
        </w:tc>
      </w:tr>
      <w:tr>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£175,000</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88%</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12%</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83%</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12 months</w:t>
            </w:r>
          </w:p>
        </w:tc>
        <w:tc>
          <w:tcPr>
            <w:tcW w:type="dxa" w:w="1506"/>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600</w:t>
            </w:r>
          </w:p>
        </w:tc>
      </w:tr>
      <w:tr>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£250,000</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91%</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9%</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89%</w:t>
            </w:r>
          </w:p>
        </w:tc>
        <w:tc>
          <w:tcPr>
            <w:tcW w:type="dxa" w:w="1504"/>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16 months</w:t>
            </w:r>
          </w:p>
        </w:tc>
        <w:tc>
          <w:tcPr>
            <w:tcW w:type="dxa" w:w="1506"/>
            <w:tcBorders>
              <w:top w:val="single" w:color="E2E8F0" w:sz="1"/>
              <w:left w:val="single" w:color="E2E8F0" w:sz="1"/>
              <w:bottom w:val="single" w:color="E2E8F0" w:sz="1"/>
              <w:right w:val="single" w:color="E2E8F0" w:sz="1"/>
            </w:tcBorders>
            <w:tcMar>
              <w:top w:type="dxa" w:w="70"/>
              <w:left w:type="dxa" w:w="80"/>
              <w:bottom w:type="dxa" w:w="70"/>
              <w:right w:type="dxa" w:w="80"/>
            </w:tcMar>
          </w:tcPr>
          <w:p>
            <w:pPr>
              <w:jc w:val="center"/>
            </w:pPr>
            <w:r>
              <w:rPr>
                <w:rFonts w:ascii="Arial" w:cs="Arial" w:eastAsia="Arial" w:hAnsi="Arial"/>
                <w:sz w:val="17"/>
                <w:szCs w:val="17"/>
              </w:rPr>
              <w:t xml:space="preserve">800</w:t>
            </w:r>
          </w:p>
        </w:tc>
      </w:tr>
    </w:tbl>
    <w:p>
      <w:pPr>
        <w:spacing w:after="40" w:before="40"/>
      </w:pPr>
    </w:p>
    <w:p>
      <w:pPr>
        <w:spacing w:after="80" w:before="40"/>
      </w:pPr>
      <w:r>
        <w:rPr>
          <w:rFonts w:ascii="Arial" w:cs="Arial" w:eastAsia="Arial" w:hAnsi="Arial"/>
          <w:i/>
          <w:iCs/>
          <w:color w:val="64748B"/>
          <w:sz w:val="17"/>
          <w:szCs w:val="17"/>
        </w:rPr>
        <w:t xml:space="preserve">Note: Blended rate: £35/hr. Founder cash % = Founder's share of each Monthly Invoice. B+D equity consideration = balance. Sprint duration = Phase 1. Phase 2 (200 hrs/month x 2 months) available on £50k and £75k tiers subject to separate written agreement.</w:t>
      </w:r>
    </w:p>
    <w:p>
      <w:pPr>
        <w:pageBreakBefore/>
      </w:pPr>
    </w:p>
    <w:p>
      <w:pPr>
        <w:pStyle w:val="Heading1"/>
        <w:spacing w:after="160" w:before="360"/>
      </w:pPr>
      <w:r>
        <w:rPr>
          <w:rFonts w:ascii="Arial" w:cs="Arial" w:eastAsia="Arial" w:hAnsi="Arial"/>
          <w:b/>
          <w:bCs/>
          <w:color w:val="0F2444"/>
          <w:sz w:val="28"/>
          <w:szCs w:val="28"/>
        </w:rPr>
        <w:t xml:space="preserve">SCHEDULE 2 — EQUITY VESTING SCHEDULE (ALL INVESTMENT TIERS)</w:t>
      </w:r>
    </w:p>
    <w:p>
      <w:pPr>
        <w:spacing w:after="100" w:before="60"/>
      </w:pPr>
      <w:r>
        <w:rPr>
          <w:rFonts w:ascii="Arial" w:cs="Arial" w:eastAsia="Arial" w:hAnsi="Arial"/>
          <w:color w:val="333333"/>
          <w:sz w:val="20"/>
          <w:szCs w:val="20"/>
        </w:rPr>
        <w:t xml:space="preserve">Cumulative B+D equity vested at end of each month. * = Month 1 probationary: 0% if exit before month-end, tranche % if month completed. — = programme ended for this tier at this month.</w:t>
      </w:r>
    </w:p>
    <w:p>
      <w:pPr>
        <w:spacing w:after="40" w:before="4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100"/>
        <w:gridCol w:w="1585"/>
        <w:gridCol w:w="1585"/>
        <w:gridCol w:w="1585"/>
        <w:gridCol w:w="1585"/>
        <w:gridCol w:w="1586"/>
      </w:tblGrid>
      <w:tr>
        <w:tc>
          <w:tcPr>
            <w:tcW w:type="dxa" w:w="1100"/>
            <w:tcBorders>
              <w:top w:val="single" w:color="E2E8F0" w:sz="1"/>
              <w:left w:val="single" w:color="E2E8F0" w:sz="1"/>
              <w:bottom w:val="single" w:color="E2E8F0" w:sz="1"/>
              <w:right w:val="single" w:color="E2E8F0" w:sz="1"/>
            </w:tcBorders>
            <w:shd w:fill="0F2444" w:val="clear"/>
            <w:tcMar>
              <w:top w:type="dxa" w:w="70"/>
              <w:left w:type="dxa" w:w="60"/>
              <w:bottom w:type="dxa" w:w="70"/>
              <w:right w:type="dxa" w:w="60"/>
            </w:tcMar>
          </w:tcPr>
          <w:p>
            <w:pPr>
              <w:jc w:val="center"/>
            </w:pPr>
            <w:r>
              <w:rPr>
                <w:rFonts w:ascii="Arial" w:cs="Arial" w:eastAsia="Arial" w:hAnsi="Arial"/>
                <w:b/>
                <w:bCs/>
                <w:color w:val="FFFFFF"/>
                <w:sz w:val="15"/>
                <w:szCs w:val="15"/>
              </w:rPr>
              <w:t xml:space="preserve">Month</w:t>
            </w:r>
          </w:p>
        </w:tc>
        <w:tc>
          <w:tcPr>
            <w:tcW w:type="dxa" w:w="1585"/>
            <w:tcBorders>
              <w:top w:val="single" w:color="E2E8F0" w:sz="1"/>
              <w:left w:val="single" w:color="E2E8F0" w:sz="1"/>
              <w:bottom w:val="single" w:color="E2E8F0" w:sz="1"/>
              <w:right w:val="single" w:color="E2E8F0" w:sz="1"/>
            </w:tcBorders>
            <w:shd w:fill="0F2444" w:val="clear"/>
            <w:tcMar>
              <w:top w:type="dxa" w:w="70"/>
              <w:left w:type="dxa" w:w="60"/>
              <w:bottom w:type="dxa" w:w="70"/>
              <w:right w:type="dxa" w:w="60"/>
            </w:tcMar>
          </w:tcPr>
          <w:p>
            <w:pPr>
              <w:jc w:val="center"/>
            </w:pPr>
            <w:r>
              <w:rPr>
                <w:rFonts w:ascii="Arial" w:cs="Arial" w:eastAsia="Arial" w:hAnsi="Arial"/>
                <w:b/>
                <w:bCs/>
                <w:color w:val="FFFFFF"/>
                <w:sz w:val="15"/>
                <w:szCs w:val="15"/>
              </w:rPr>
              <w:t xml:space="preserve">£50k (25%)</w:t>
            </w:r>
          </w:p>
        </w:tc>
        <w:tc>
          <w:tcPr>
            <w:tcW w:type="dxa" w:w="1585"/>
            <w:tcBorders>
              <w:top w:val="single" w:color="E2E8F0" w:sz="1"/>
              <w:left w:val="single" w:color="E2E8F0" w:sz="1"/>
              <w:bottom w:val="single" w:color="E2E8F0" w:sz="1"/>
              <w:right w:val="single" w:color="E2E8F0" w:sz="1"/>
            </w:tcBorders>
            <w:shd w:fill="0F2444" w:val="clear"/>
            <w:tcMar>
              <w:top w:type="dxa" w:w="70"/>
              <w:left w:type="dxa" w:w="60"/>
              <w:bottom w:type="dxa" w:w="70"/>
              <w:right w:type="dxa" w:w="60"/>
            </w:tcMar>
          </w:tcPr>
          <w:p>
            <w:pPr>
              <w:jc w:val="center"/>
            </w:pPr>
            <w:r>
              <w:rPr>
                <w:rFonts w:ascii="Arial" w:cs="Arial" w:eastAsia="Arial" w:hAnsi="Arial"/>
                <w:b/>
                <w:bCs/>
                <w:color w:val="FFFFFF"/>
                <w:sz w:val="15"/>
                <w:szCs w:val="15"/>
              </w:rPr>
              <w:t xml:space="preserve">£75k (20%)</w:t>
            </w:r>
          </w:p>
        </w:tc>
        <w:tc>
          <w:tcPr>
            <w:tcW w:type="dxa" w:w="1585"/>
            <w:tcBorders>
              <w:top w:val="single" w:color="E2E8F0" w:sz="1"/>
              <w:left w:val="single" w:color="E2E8F0" w:sz="1"/>
              <w:bottom w:val="single" w:color="E2E8F0" w:sz="1"/>
              <w:right w:val="single" w:color="E2E8F0" w:sz="1"/>
            </w:tcBorders>
            <w:shd w:fill="0F2444" w:val="clear"/>
            <w:tcMar>
              <w:top w:type="dxa" w:w="70"/>
              <w:left w:type="dxa" w:w="60"/>
              <w:bottom w:type="dxa" w:w="70"/>
              <w:right w:type="dxa" w:w="60"/>
            </w:tcMar>
          </w:tcPr>
          <w:p>
            <w:pPr>
              <w:jc w:val="center"/>
            </w:pPr>
            <w:r>
              <w:rPr>
                <w:rFonts w:ascii="Arial" w:cs="Arial" w:eastAsia="Arial" w:hAnsi="Arial"/>
                <w:b/>
                <w:bCs/>
                <w:color w:val="FFFFFF"/>
                <w:sz w:val="15"/>
                <w:szCs w:val="15"/>
              </w:rPr>
              <w:t xml:space="preserve">£120k (16%)</w:t>
            </w:r>
          </w:p>
        </w:tc>
        <w:tc>
          <w:tcPr>
            <w:tcW w:type="dxa" w:w="1585"/>
            <w:tcBorders>
              <w:top w:val="single" w:color="E2E8F0" w:sz="1"/>
              <w:left w:val="single" w:color="E2E8F0" w:sz="1"/>
              <w:bottom w:val="single" w:color="E2E8F0" w:sz="1"/>
              <w:right w:val="single" w:color="E2E8F0" w:sz="1"/>
            </w:tcBorders>
            <w:shd w:fill="0F2444" w:val="clear"/>
            <w:tcMar>
              <w:top w:type="dxa" w:w="70"/>
              <w:left w:type="dxa" w:w="60"/>
              <w:bottom w:type="dxa" w:w="70"/>
              <w:right w:type="dxa" w:w="60"/>
            </w:tcMar>
          </w:tcPr>
          <w:p>
            <w:pPr>
              <w:jc w:val="center"/>
            </w:pPr>
            <w:r>
              <w:rPr>
                <w:rFonts w:ascii="Arial" w:cs="Arial" w:eastAsia="Arial" w:hAnsi="Arial"/>
                <w:b/>
                <w:bCs/>
                <w:color w:val="FFFFFF"/>
                <w:sz w:val="15"/>
                <w:szCs w:val="15"/>
              </w:rPr>
              <w:t xml:space="preserve">£175k (12%)</w:t>
            </w:r>
          </w:p>
        </w:tc>
        <w:tc>
          <w:tcPr>
            <w:tcW w:type="dxa" w:w="1586"/>
            <w:tcBorders>
              <w:top w:val="single" w:color="E2E8F0" w:sz="1"/>
              <w:left w:val="single" w:color="E2E8F0" w:sz="1"/>
              <w:bottom w:val="single" w:color="E2E8F0" w:sz="1"/>
              <w:right w:val="single" w:color="E2E8F0" w:sz="1"/>
            </w:tcBorders>
            <w:shd w:fill="0F2444" w:val="clear"/>
            <w:tcMar>
              <w:top w:type="dxa" w:w="70"/>
              <w:left w:type="dxa" w:w="60"/>
              <w:bottom w:type="dxa" w:w="70"/>
              <w:right w:type="dxa" w:w="60"/>
            </w:tcMar>
          </w:tcPr>
          <w:p>
            <w:pPr>
              <w:jc w:val="center"/>
            </w:pPr>
            <w:r>
              <w:rPr>
                <w:rFonts w:ascii="Arial" w:cs="Arial" w:eastAsia="Arial" w:hAnsi="Arial"/>
                <w:b/>
                <w:bCs/>
                <w:color w:val="FFFFFF"/>
                <w:sz w:val="15"/>
                <w:szCs w:val="15"/>
              </w:rPr>
              <w:t xml:space="preserve">£250k (9%)</w:t>
            </w:r>
          </w:p>
        </w:tc>
      </w:tr>
      <w:tr>
        <w:tc>
          <w:tcPr>
            <w:tcW w:type="dxa" w:w="1100"/>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Month 1</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8870A"/>
                <w:sz w:val="15"/>
                <w:szCs w:val="15"/>
              </w:rPr>
              <w:t xml:space="preserve">5.00% *</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8870A"/>
                <w:sz w:val="15"/>
                <w:szCs w:val="15"/>
              </w:rPr>
              <w:t xml:space="preserve">2.86% *</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8870A"/>
                <w:sz w:val="15"/>
                <w:szCs w:val="15"/>
              </w:rPr>
              <w:t xml:space="preserve">1.78% *</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8870A"/>
                <w:sz w:val="15"/>
                <w:szCs w:val="15"/>
              </w:rPr>
              <w:t xml:space="preserve">1.00% *</w:t>
            </w:r>
          </w:p>
        </w:tc>
        <w:tc>
          <w:tcPr>
            <w:tcW w:type="dxa" w:w="1586"/>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8870A"/>
                <w:sz w:val="15"/>
                <w:szCs w:val="15"/>
              </w:rPr>
              <w:t xml:space="preserve">0.56% *</w:t>
            </w:r>
          </w:p>
        </w:tc>
      </w:tr>
      <w:tr>
        <w:tc>
          <w:tcPr>
            <w:tcW w:type="dxa" w:w="1100"/>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Month 2</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10.00%</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5.71%</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3.56%</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2.00%</w:t>
            </w:r>
          </w:p>
        </w:tc>
        <w:tc>
          <w:tcPr>
            <w:tcW w:type="dxa" w:w="1586"/>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1.13%</w:t>
            </w:r>
          </w:p>
        </w:tc>
      </w:tr>
      <w:tr>
        <w:tc>
          <w:tcPr>
            <w:tcW w:type="dxa" w:w="1100"/>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Month 3</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15.00%</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8.57%</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5.33%</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3.00%</w:t>
            </w:r>
          </w:p>
        </w:tc>
        <w:tc>
          <w:tcPr>
            <w:tcW w:type="dxa" w:w="1586"/>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1.69%</w:t>
            </w:r>
          </w:p>
        </w:tc>
      </w:tr>
      <w:tr>
        <w:tc>
          <w:tcPr>
            <w:tcW w:type="dxa" w:w="1100"/>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Month 4</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20.00%</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11.43%</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7.11%</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4.00%</w:t>
            </w:r>
          </w:p>
        </w:tc>
        <w:tc>
          <w:tcPr>
            <w:tcW w:type="dxa" w:w="1586"/>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2.25%</w:t>
            </w:r>
          </w:p>
        </w:tc>
      </w:tr>
      <w:tr>
        <w:tc>
          <w:tcPr>
            <w:tcW w:type="dxa" w:w="1100"/>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Month 5</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25.00%</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14.29%</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8.89%</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5.00%</w:t>
            </w:r>
          </w:p>
        </w:tc>
        <w:tc>
          <w:tcPr>
            <w:tcW w:type="dxa" w:w="1586"/>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2.81%</w:t>
            </w:r>
          </w:p>
        </w:tc>
      </w:tr>
      <w:tr>
        <w:tc>
          <w:tcPr>
            <w:tcW w:type="dxa" w:w="1100"/>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Month 6</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17.14%</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10.67%</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6.00%</w:t>
            </w:r>
          </w:p>
        </w:tc>
        <w:tc>
          <w:tcPr>
            <w:tcW w:type="dxa" w:w="1586"/>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3.38%</w:t>
            </w:r>
          </w:p>
        </w:tc>
      </w:tr>
      <w:tr>
        <w:tc>
          <w:tcPr>
            <w:tcW w:type="dxa" w:w="1100"/>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Month 7</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20.00%</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12.44%</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7.00%</w:t>
            </w:r>
          </w:p>
        </w:tc>
        <w:tc>
          <w:tcPr>
            <w:tcW w:type="dxa" w:w="1586"/>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3.94%</w:t>
            </w:r>
          </w:p>
        </w:tc>
      </w:tr>
      <w:tr>
        <w:tc>
          <w:tcPr>
            <w:tcW w:type="dxa" w:w="1100"/>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Month 8</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14.22%</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8.00%</w:t>
            </w:r>
          </w:p>
        </w:tc>
        <w:tc>
          <w:tcPr>
            <w:tcW w:type="dxa" w:w="1586"/>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4.50%</w:t>
            </w:r>
          </w:p>
        </w:tc>
      </w:tr>
      <w:tr>
        <w:tc>
          <w:tcPr>
            <w:tcW w:type="dxa" w:w="1100"/>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Month 9</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16.00%</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9.00%</w:t>
            </w:r>
          </w:p>
        </w:tc>
        <w:tc>
          <w:tcPr>
            <w:tcW w:type="dxa" w:w="1586"/>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5.06%</w:t>
            </w:r>
          </w:p>
        </w:tc>
      </w:tr>
      <w:tr>
        <w:tc>
          <w:tcPr>
            <w:tcW w:type="dxa" w:w="1100"/>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Month 10</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10.00%</w:t>
            </w:r>
          </w:p>
        </w:tc>
        <w:tc>
          <w:tcPr>
            <w:tcW w:type="dxa" w:w="1586"/>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5.63%</w:t>
            </w:r>
          </w:p>
        </w:tc>
      </w:tr>
      <w:tr>
        <w:tc>
          <w:tcPr>
            <w:tcW w:type="dxa" w:w="1100"/>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Month 11</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11.00%</w:t>
            </w:r>
          </w:p>
        </w:tc>
        <w:tc>
          <w:tcPr>
            <w:tcW w:type="dxa" w:w="1586"/>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6.19%</w:t>
            </w:r>
          </w:p>
        </w:tc>
      </w:tr>
      <w:tr>
        <w:tc>
          <w:tcPr>
            <w:tcW w:type="dxa" w:w="1100"/>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Month 12</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12.00%</w:t>
            </w:r>
          </w:p>
        </w:tc>
        <w:tc>
          <w:tcPr>
            <w:tcW w:type="dxa" w:w="1586"/>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6.75%</w:t>
            </w:r>
          </w:p>
        </w:tc>
      </w:tr>
      <w:tr>
        <w:tc>
          <w:tcPr>
            <w:tcW w:type="dxa" w:w="1100"/>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Month 13</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6"/>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7.31%</w:t>
            </w:r>
          </w:p>
        </w:tc>
      </w:tr>
      <w:tr>
        <w:tc>
          <w:tcPr>
            <w:tcW w:type="dxa" w:w="1100"/>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Month 14</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6"/>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7.88%</w:t>
            </w:r>
          </w:p>
        </w:tc>
      </w:tr>
      <w:tr>
        <w:tc>
          <w:tcPr>
            <w:tcW w:type="dxa" w:w="1100"/>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Month 15</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6"/>
            <w:tcBorders>
              <w:top w:val="single" w:color="E2E8F0" w:sz="1"/>
              <w:left w:val="single" w:color="E2E8F0" w:sz="1"/>
              <w:bottom w:val="single" w:color="E2E8F0" w:sz="1"/>
              <w:right w:val="single" w:color="E2E8F0" w:sz="1"/>
            </w:tcBorders>
            <w:tcMar>
              <w:top w:type="dxa" w:w="55"/>
              <w:left w:type="dxa" w:w="60"/>
              <w:bottom w:type="dxa" w:w="55"/>
              <w:right w:type="dxa" w:w="60"/>
            </w:tcMar>
          </w:tcPr>
          <w:p>
            <w:pPr>
              <w:jc w:val="center"/>
            </w:pPr>
            <w:r>
              <w:rPr>
                <w:rFonts w:ascii="Arial" w:cs="Arial" w:eastAsia="Arial" w:hAnsi="Arial"/>
                <w:color w:val="333333"/>
                <w:sz w:val="15"/>
                <w:szCs w:val="15"/>
              </w:rPr>
              <w:t xml:space="preserve">8.44%</w:t>
            </w:r>
          </w:p>
        </w:tc>
      </w:tr>
      <w:tr>
        <w:tc>
          <w:tcPr>
            <w:tcW w:type="dxa" w:w="1100"/>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Month 16</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5"/>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CBD5E1"/>
                <w:sz w:val="15"/>
                <w:szCs w:val="15"/>
              </w:rPr>
              <w:t xml:space="preserve">—</w:t>
            </w:r>
          </w:p>
        </w:tc>
        <w:tc>
          <w:tcPr>
            <w:tcW w:type="dxa" w:w="1586"/>
            <w:tcBorders>
              <w:top w:val="single" w:color="E2E8F0" w:sz="1"/>
              <w:left w:val="single" w:color="E2E8F0" w:sz="1"/>
              <w:bottom w:val="single" w:color="E2E8F0" w:sz="1"/>
              <w:right w:val="single" w:color="E2E8F0" w:sz="1"/>
            </w:tcBorders>
            <w:shd w:fill="F8FAFC" w:val="clear"/>
            <w:tcMar>
              <w:top w:type="dxa" w:w="55"/>
              <w:left w:type="dxa" w:w="60"/>
              <w:bottom w:type="dxa" w:w="55"/>
              <w:right w:type="dxa" w:w="60"/>
            </w:tcMar>
          </w:tcPr>
          <w:p>
            <w:pPr>
              <w:jc w:val="center"/>
            </w:pPr>
            <w:r>
              <w:rPr>
                <w:rFonts w:ascii="Arial" w:cs="Arial" w:eastAsia="Arial" w:hAnsi="Arial"/>
                <w:color w:val="333333"/>
                <w:sz w:val="15"/>
                <w:szCs w:val="15"/>
              </w:rPr>
              <w:t xml:space="preserve">9.00%</w:t>
            </w:r>
          </w:p>
        </w:tc>
      </w:tr>
    </w:tbl>
    <w:p>
      <w:pPr>
        <w:spacing w:after="40" w:before="40"/>
      </w:pPr>
    </w:p>
    <w:p>
      <w:pPr>
        <w:spacing w:after="80" w:before="40"/>
      </w:pPr>
      <w:r>
        <w:rPr>
          <w:rFonts w:ascii="Arial" w:cs="Arial" w:eastAsia="Arial" w:hAnsi="Arial"/>
          <w:i/>
          <w:iCs/>
          <w:color w:val="64748B"/>
          <w:sz w:val="17"/>
          <w:szCs w:val="17"/>
        </w:rPr>
        <w:t xml:space="preserve">Note: Monthly tranche per tier: £50k = 5.00%  ·  £75k = 2.86%  ·  £120k = 1.78%  ·  £175k = 1.00%  ·  £250k = 0.56% (rounded; last tranche adjusted to reach exactly the Equity Cap). All tranches vest on last Business Day of each completed month.</w:t>
      </w:r>
    </w:p>
    <w:p>
      <w:pPr>
        <w:pageBreakBefore/>
      </w:pPr>
    </w:p>
    <w:p>
      <w:pPr>
        <w:pStyle w:val="Heading1"/>
        <w:spacing w:after="160" w:before="360"/>
      </w:pPr>
      <w:r>
        <w:rPr>
          <w:rFonts w:ascii="Arial" w:cs="Arial" w:eastAsia="Arial" w:hAnsi="Arial"/>
          <w:b/>
          <w:bCs/>
          <w:color w:val="0F2444"/>
          <w:sz w:val="28"/>
          <w:szCs w:val="28"/>
        </w:rPr>
        <w:t xml:space="preserve">SCHEDULE 3 — NOTICE DETAILS</w:t>
      </w:r>
    </w:p>
    <w:p>
      <w:pPr>
        <w:spacing w:after="40" w:before="4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800"/>
        <w:gridCol w:w="6226"/>
      </w:tblGrid>
      <w:tr>
        <w:tc>
          <w:tcPr>
            <w:tcW w:type="dxa" w:w="2800"/>
            <w:tcBorders>
              <w:top w:val="single" w:color="E2E8F0" w:sz="1"/>
              <w:left w:val="single" w:color="E2E8F0" w:sz="1"/>
              <w:bottom w:val="single" w:color="E2E8F0" w:sz="1"/>
              <w:right w:val="single" w:color="E2E8F0" w:sz="1"/>
            </w:tcBorders>
            <w:shd w:fill="0F2444" w:val="clear"/>
            <w:tcMar>
              <w:top w:type="dxa" w:w="70"/>
              <w:left w:type="dxa" w:w="100"/>
              <w:bottom w:type="dxa" w:w="70"/>
              <w:right w:type="dxa" w:w="100"/>
            </w:tcMar>
          </w:tcPr>
          <w:p>
            <w:r>
              <w:rPr>
                <w:rFonts w:ascii="Arial" w:cs="Arial" w:eastAsia="Arial" w:hAnsi="Arial"/>
                <w:b/>
                <w:bCs/>
                <w:color w:val="FFFFFF"/>
                <w:sz w:val="18"/>
                <w:szCs w:val="18"/>
              </w:rPr>
              <w:t xml:space="preserve">Party</w:t>
            </w:r>
          </w:p>
        </w:tc>
        <w:tc>
          <w:tcPr>
            <w:tcW w:type="dxa" w:w="2800"/>
            <w:tcBorders>
              <w:top w:val="single" w:color="E2E8F0" w:sz="1"/>
              <w:left w:val="single" w:color="E2E8F0" w:sz="1"/>
              <w:bottom w:val="single" w:color="E2E8F0" w:sz="1"/>
              <w:right w:val="single" w:color="E2E8F0" w:sz="1"/>
            </w:tcBorders>
            <w:shd w:fill="0F2444" w:val="clear"/>
            <w:tcMar>
              <w:top w:type="dxa" w:w="70"/>
              <w:left w:type="dxa" w:w="100"/>
              <w:bottom w:type="dxa" w:w="70"/>
              <w:right w:type="dxa" w:w="100"/>
            </w:tcMar>
          </w:tcPr>
          <w:p>
            <w:r>
              <w:rPr>
                <w:rFonts w:ascii="Arial" w:cs="Arial" w:eastAsia="Arial" w:hAnsi="Arial"/>
                <w:b/>
                <w:bCs/>
                <w:color w:val="FFFFFF"/>
                <w:sz w:val="18"/>
                <w:szCs w:val="18"/>
              </w:rPr>
              <w:t xml:space="preserve">Contact Details</w:t>
            </w:r>
          </w:p>
        </w:tc>
      </w:tr>
      <w:tr>
        <w:tc>
          <w:tcPr>
            <w:tcW w:type="dxa" w:w="2800"/>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val="false"/>
                <w:iCs w:val="false"/>
                <w:color w:val="333333"/>
                <w:sz w:val="18"/>
                <w:szCs w:val="18"/>
              </w:rPr>
              <w:t xml:space="preserve">The Founder</w:t>
            </w:r>
          </w:p>
        </w:tc>
        <w:tc>
          <w:tcPr>
            <w:tcW w:type="dxa" w:w="6226"/>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iCs/>
                <w:color w:val="64748B"/>
                <w:sz w:val="18"/>
                <w:szCs w:val="18"/>
              </w:rPr>
              <w:t xml:space="preserve">[Full Name · Email · Address]</w:t>
            </w:r>
          </w:p>
        </w:tc>
      </w:tr>
      <w:tr>
        <w:tc>
          <w:tcPr>
            <w:tcW w:type="dxa" w:w="2800"/>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val="false"/>
                <w:iCs w:val="false"/>
                <w:color w:val="333333"/>
                <w:sz w:val="18"/>
                <w:szCs w:val="18"/>
              </w:rPr>
              <w:t xml:space="preserve">B+D (Macaire Solutions Ltd)</w:t>
            </w:r>
          </w:p>
        </w:tc>
        <w:tc>
          <w:tcPr>
            <w:tcW w:type="dxa" w:w="6226"/>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val="false"/>
                <w:iCs w:val="false"/>
                <w:color w:val="333333"/>
                <w:sz w:val="18"/>
                <w:szCs w:val="18"/>
              </w:rPr>
              <w:t xml:space="preserve">Piyush Mishra · info@founder75.com · [Registered address]</w:t>
            </w:r>
          </w:p>
        </w:tc>
      </w:tr>
      <w:tr>
        <w:tc>
          <w:tcPr>
            <w:tcW w:type="dxa" w:w="2800"/>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val="false"/>
                <w:iCs w:val="false"/>
                <w:color w:val="333333"/>
                <w:sz w:val="18"/>
                <w:szCs w:val="18"/>
              </w:rPr>
              <w:t xml:space="preserve">The Company</w:t>
            </w:r>
          </w:p>
        </w:tc>
        <w:tc>
          <w:tcPr>
            <w:tcW w:type="dxa" w:w="6226"/>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iCs/>
                <w:color w:val="64748B"/>
                <w:sz w:val="18"/>
                <w:szCs w:val="18"/>
              </w:rPr>
              <w:t xml:space="preserve">[Registered office — completed on incorporation]</w:t>
            </w:r>
          </w:p>
        </w:tc>
      </w:tr>
    </w:tbl>
    <w:p>
      <w:pPr>
        <w:pageBreakBefore/>
      </w:pPr>
    </w:p>
    <w:p>
      <w:pPr>
        <w:pStyle w:val="Heading1"/>
        <w:spacing w:after="160" w:before="360"/>
      </w:pPr>
      <w:r>
        <w:rPr>
          <w:rFonts w:ascii="Arial" w:cs="Arial" w:eastAsia="Arial" w:hAnsi="Arial"/>
          <w:b/>
          <w:bCs/>
          <w:color w:val="0F2444"/>
          <w:sz w:val="28"/>
          <w:szCs w:val="28"/>
        </w:rPr>
        <w:t xml:space="preserve">SCHEDULE 4 — KEY PERSONNEL</w:t>
      </w:r>
    </w:p>
    <w:p>
      <w:pPr>
        <w:spacing w:after="40" w:before="4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026"/>
      </w:tblGrid>
      <w:tr>
        <w:tc>
          <w:tcPr>
            <w:tcW w:type="dxa" w:w="3000"/>
            <w:tcBorders>
              <w:top w:val="single" w:color="E2E8F0" w:sz="1"/>
              <w:left w:val="single" w:color="E2E8F0" w:sz="1"/>
              <w:bottom w:val="single" w:color="E2E8F0" w:sz="1"/>
              <w:right w:val="single" w:color="E2E8F0" w:sz="1"/>
            </w:tcBorders>
            <w:shd w:fill="0F2444" w:val="clear"/>
            <w:tcMar>
              <w:top w:type="dxa" w:w="70"/>
              <w:left w:type="dxa" w:w="100"/>
              <w:bottom w:type="dxa" w:w="70"/>
              <w:right w:type="dxa" w:w="100"/>
            </w:tcMar>
          </w:tcPr>
          <w:p>
            <w:r>
              <w:rPr>
                <w:rFonts w:ascii="Arial" w:cs="Arial" w:eastAsia="Arial" w:hAnsi="Arial"/>
                <w:b/>
                <w:bCs/>
                <w:color w:val="FFFFFF"/>
                <w:sz w:val="18"/>
                <w:szCs w:val="18"/>
              </w:rPr>
              <w:t xml:space="preserve">Name</w:t>
            </w:r>
          </w:p>
        </w:tc>
        <w:tc>
          <w:tcPr>
            <w:tcW w:type="dxa" w:w="3000"/>
            <w:tcBorders>
              <w:top w:val="single" w:color="E2E8F0" w:sz="1"/>
              <w:left w:val="single" w:color="E2E8F0" w:sz="1"/>
              <w:bottom w:val="single" w:color="E2E8F0" w:sz="1"/>
              <w:right w:val="single" w:color="E2E8F0" w:sz="1"/>
            </w:tcBorders>
            <w:shd w:fill="0F2444" w:val="clear"/>
            <w:tcMar>
              <w:top w:type="dxa" w:w="70"/>
              <w:left w:type="dxa" w:w="100"/>
              <w:bottom w:type="dxa" w:w="70"/>
              <w:right w:type="dxa" w:w="100"/>
            </w:tcMar>
          </w:tcPr>
          <w:p>
            <w:r>
              <w:rPr>
                <w:rFonts w:ascii="Arial" w:cs="Arial" w:eastAsia="Arial" w:hAnsi="Arial"/>
                <w:b/>
                <w:bCs/>
                <w:color w:val="FFFFFF"/>
                <w:sz w:val="18"/>
                <w:szCs w:val="18"/>
              </w:rPr>
              <w:t xml:space="preserve">Role</w:t>
            </w:r>
          </w:p>
        </w:tc>
        <w:tc>
          <w:tcPr>
            <w:tcW w:type="dxa" w:w="3026"/>
            <w:tcBorders>
              <w:top w:val="single" w:color="E2E8F0" w:sz="1"/>
              <w:left w:val="single" w:color="E2E8F0" w:sz="1"/>
              <w:bottom w:val="single" w:color="E2E8F0" w:sz="1"/>
              <w:right w:val="single" w:color="E2E8F0" w:sz="1"/>
            </w:tcBorders>
            <w:shd w:fill="0F2444" w:val="clear"/>
            <w:tcMar>
              <w:top w:type="dxa" w:w="70"/>
              <w:left w:type="dxa" w:w="100"/>
              <w:bottom w:type="dxa" w:w="70"/>
              <w:right w:type="dxa" w:w="100"/>
            </w:tcMar>
          </w:tcPr>
          <w:p>
            <w:r>
              <w:rPr>
                <w:rFonts w:ascii="Arial" w:cs="Arial" w:eastAsia="Arial" w:hAnsi="Arial"/>
                <w:b/>
                <w:bCs/>
                <w:color w:val="FFFFFF"/>
                <w:sz w:val="18"/>
                <w:szCs w:val="18"/>
              </w:rPr>
              <w:t xml:space="preserve">Min. Hours/Week</w:t>
            </w:r>
          </w:p>
        </w:tc>
      </w:tr>
      <w:tr>
        <w:tc>
          <w:tcPr>
            <w:tcW w:type="dxa" w:w="3000"/>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iCs/>
                <w:color w:val="64748B"/>
                <w:sz w:val="18"/>
                <w:szCs w:val="18"/>
              </w:rPr>
              <w:t xml:space="preserve">[Name]</w:t>
            </w:r>
          </w:p>
        </w:tc>
        <w:tc>
          <w:tcPr>
            <w:tcW w:type="dxa" w:w="3000"/>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iCs/>
                <w:color w:val="64748B"/>
                <w:sz w:val="18"/>
                <w:szCs w:val="18"/>
              </w:rPr>
              <w:t xml:space="preserve">[Role — e.g. Lead Engineer]</w:t>
            </w:r>
          </w:p>
        </w:tc>
        <w:tc>
          <w:tcPr>
            <w:tcW w:type="dxa" w:w="3026"/>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iCs/>
                <w:color w:val="64748B"/>
                <w:sz w:val="18"/>
                <w:szCs w:val="18"/>
              </w:rPr>
              <w:t xml:space="preserve">[X hrs]</w:t>
            </w:r>
          </w:p>
        </w:tc>
      </w:tr>
      <w:tr>
        <w:tc>
          <w:tcPr>
            <w:tcW w:type="dxa" w:w="3000"/>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iCs/>
                <w:color w:val="64748B"/>
                <w:sz w:val="18"/>
                <w:szCs w:val="18"/>
              </w:rPr>
              <w:t xml:space="preserve">[Name]</w:t>
            </w:r>
          </w:p>
        </w:tc>
        <w:tc>
          <w:tcPr>
            <w:tcW w:type="dxa" w:w="3000"/>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iCs/>
                <w:color w:val="64748B"/>
                <w:sz w:val="18"/>
                <w:szCs w:val="18"/>
              </w:rPr>
              <w:t xml:space="preserve">[Role — e.g. Growth Lead]</w:t>
            </w:r>
          </w:p>
        </w:tc>
        <w:tc>
          <w:tcPr>
            <w:tcW w:type="dxa" w:w="3026"/>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iCs/>
                <w:color w:val="64748B"/>
                <w:sz w:val="18"/>
                <w:szCs w:val="18"/>
              </w:rPr>
              <w:t xml:space="preserve">[X hrs]</w:t>
            </w:r>
          </w:p>
        </w:tc>
      </w:tr>
      <w:tr>
        <w:tc>
          <w:tcPr>
            <w:tcW w:type="dxa" w:w="3000"/>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iCs/>
                <w:color w:val="64748B"/>
                <w:sz w:val="18"/>
                <w:szCs w:val="18"/>
              </w:rPr>
              <w:t xml:space="preserve">[Name]</w:t>
            </w:r>
          </w:p>
        </w:tc>
        <w:tc>
          <w:tcPr>
            <w:tcW w:type="dxa" w:w="3000"/>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iCs/>
                <w:color w:val="64748B"/>
                <w:sz w:val="18"/>
                <w:szCs w:val="18"/>
              </w:rPr>
              <w:t xml:space="preserve">[Role — e.g. Product Manager]</w:t>
            </w:r>
          </w:p>
        </w:tc>
        <w:tc>
          <w:tcPr>
            <w:tcW w:type="dxa" w:w="3026"/>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iCs/>
                <w:color w:val="64748B"/>
                <w:sz w:val="18"/>
                <w:szCs w:val="18"/>
              </w:rPr>
              <w:t xml:space="preserve">[X hrs]</w:t>
            </w:r>
          </w:p>
        </w:tc>
      </w:tr>
    </w:tbl>
    <w:p>
      <w:pPr>
        <w:spacing w:after="40" w:before="40"/>
      </w:pPr>
    </w:p>
    <w:p>
      <w:pPr>
        <w:spacing w:after="80" w:before="40"/>
      </w:pPr>
      <w:r>
        <w:rPr>
          <w:rFonts w:ascii="Arial" w:cs="Arial" w:eastAsia="Arial" w:hAnsi="Arial"/>
          <w:i/>
          <w:iCs/>
          <w:color w:val="64748B"/>
          <w:sz w:val="17"/>
          <w:szCs w:val="17"/>
        </w:rPr>
        <w:t xml:space="preserve">Note: To be completed at or before Completion Date with named individuals, roles, and minimum weekly hours.</w:t>
      </w:r>
    </w:p>
    <w:p>
      <w:pPr>
        <w:pageBreakBefore/>
      </w:pPr>
    </w:p>
    <w:p>
      <w:pPr>
        <w:pStyle w:val="Heading1"/>
        <w:spacing w:after="160" w:before="360"/>
      </w:pPr>
      <w:r>
        <w:rPr>
          <w:rFonts w:ascii="Arial" w:cs="Arial" w:eastAsia="Arial" w:hAnsi="Arial"/>
          <w:b/>
          <w:bCs/>
          <w:color w:val="0F2444"/>
          <w:sz w:val="28"/>
          <w:szCs w:val="28"/>
        </w:rPr>
        <w:t xml:space="preserve">SCHEDULE 5 — BACKGROUND IP (NON-EXHAUSTIVE LIST)</w:t>
      </w:r>
    </w:p>
    <w:p>
      <w:pPr>
        <w:spacing w:after="40" w:before="4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513"/>
        <w:gridCol w:w="4513"/>
      </w:tblGrid>
      <w:tr>
        <w:tc>
          <w:tcPr>
            <w:tcW w:type="dxa" w:w="4513"/>
            <w:tcBorders>
              <w:top w:val="single" w:color="E2E8F0" w:sz="1"/>
              <w:left w:val="single" w:color="E2E8F0" w:sz="1"/>
              <w:bottom w:val="single" w:color="E2E8F0" w:sz="1"/>
              <w:right w:val="single" w:color="E2E8F0" w:sz="1"/>
            </w:tcBorders>
            <w:shd w:fill="0F2444" w:val="clear"/>
            <w:tcMar>
              <w:top w:type="dxa" w:w="70"/>
              <w:left w:type="dxa" w:w="100"/>
              <w:bottom w:type="dxa" w:w="70"/>
              <w:right w:type="dxa" w:w="100"/>
            </w:tcMar>
          </w:tcPr>
          <w:p>
            <w:r>
              <w:rPr>
                <w:rFonts w:ascii="Arial" w:cs="Arial" w:eastAsia="Arial" w:hAnsi="Arial"/>
                <w:b/>
                <w:bCs/>
                <w:color w:val="FFFFFF"/>
                <w:sz w:val="18"/>
                <w:szCs w:val="18"/>
              </w:rPr>
              <w:t xml:space="preserve">Background IP Item</w:t>
            </w:r>
          </w:p>
        </w:tc>
        <w:tc>
          <w:tcPr>
            <w:tcW w:type="dxa" w:w="4513"/>
            <w:tcBorders>
              <w:top w:val="single" w:color="E2E8F0" w:sz="1"/>
              <w:left w:val="single" w:color="E2E8F0" w:sz="1"/>
              <w:bottom w:val="single" w:color="E2E8F0" w:sz="1"/>
              <w:right w:val="single" w:color="E2E8F0" w:sz="1"/>
            </w:tcBorders>
            <w:shd w:fill="0F2444" w:val="clear"/>
            <w:tcMar>
              <w:top w:type="dxa" w:w="70"/>
              <w:left w:type="dxa" w:w="100"/>
              <w:bottom w:type="dxa" w:w="70"/>
              <w:right w:type="dxa" w:w="100"/>
            </w:tcMar>
          </w:tcPr>
          <w:p>
            <w:r>
              <w:rPr>
                <w:rFonts w:ascii="Arial" w:cs="Arial" w:eastAsia="Arial" w:hAnsi="Arial"/>
                <w:b/>
                <w:bCs/>
                <w:color w:val="FFFFFF"/>
                <w:sz w:val="18"/>
                <w:szCs w:val="18"/>
              </w:rPr>
              <w:t xml:space="preserve">Description / Licence</w:t>
            </w:r>
          </w:p>
        </w:tc>
      </w:tr>
      <w:tr>
        <w:tc>
          <w:tcPr>
            <w:tcW w:type="dxa" w:w="4513"/>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iCs/>
                <w:color w:val="64748B"/>
                <w:sz w:val="18"/>
                <w:szCs w:val="18"/>
              </w:rPr>
              <w:t xml:space="preserve">[Internal framework / toolkit name]</w:t>
            </w:r>
          </w:p>
        </w:tc>
        <w:tc>
          <w:tcPr>
            <w:tcW w:type="dxa" w:w="4513"/>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val="false"/>
                <w:iCs w:val="false"/>
                <w:color w:val="333333"/>
                <w:sz w:val="18"/>
                <w:szCs w:val="18"/>
              </w:rPr>
              <w:t xml:space="preserve">Royalty-free licence per clause 10.3</w:t>
            </w:r>
          </w:p>
        </w:tc>
      </w:tr>
      <w:tr>
        <w:tc>
          <w:tcPr>
            <w:tcW w:type="dxa" w:w="4513"/>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iCs/>
                <w:color w:val="64748B"/>
                <w:sz w:val="18"/>
                <w:szCs w:val="18"/>
              </w:rPr>
              <w:t xml:space="preserve">[Proprietary analytics system]</w:t>
            </w:r>
          </w:p>
        </w:tc>
        <w:tc>
          <w:tcPr>
            <w:tcW w:type="dxa" w:w="4513"/>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val="false"/>
                <w:iCs w:val="false"/>
                <w:color w:val="333333"/>
                <w:sz w:val="18"/>
                <w:szCs w:val="18"/>
              </w:rPr>
              <w:t xml:space="preserve">Royalty-free licence per clause 10.3</w:t>
            </w:r>
          </w:p>
        </w:tc>
      </w:tr>
      <w:tr>
        <w:tc>
          <w:tcPr>
            <w:tcW w:type="dxa" w:w="4513"/>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iCs/>
                <w:color w:val="64748B"/>
                <w:sz w:val="18"/>
                <w:szCs w:val="18"/>
              </w:rPr>
              <w:t xml:space="preserve">[Pre-built component library]</w:t>
            </w:r>
          </w:p>
        </w:tc>
        <w:tc>
          <w:tcPr>
            <w:tcW w:type="dxa" w:w="4513"/>
            <w:tcBorders>
              <w:top w:val="single" w:color="E2E8F0" w:sz="1"/>
              <w:left w:val="single" w:color="E2E8F0" w:sz="1"/>
              <w:bottom w:val="single" w:color="E2E8F0" w:sz="1"/>
              <w:right w:val="single" w:color="E2E8F0" w:sz="1"/>
            </w:tcBorders>
            <w:tcMar>
              <w:top w:type="dxa" w:w="70"/>
              <w:left w:type="dxa" w:w="100"/>
              <w:bottom w:type="dxa" w:w="70"/>
              <w:right w:type="dxa" w:w="100"/>
            </w:tcMar>
          </w:tcPr>
          <w:p>
            <w:r>
              <w:rPr>
                <w:rFonts w:ascii="Arial" w:cs="Arial" w:eastAsia="Arial" w:hAnsi="Arial"/>
                <w:i w:val="false"/>
                <w:iCs w:val="false"/>
                <w:color w:val="333333"/>
                <w:sz w:val="18"/>
                <w:szCs w:val="18"/>
              </w:rPr>
              <w:t xml:space="preserve">Royalty-free licence per clause 10.3</w:t>
            </w:r>
          </w:p>
        </w:tc>
      </w:tr>
    </w:tbl>
    <w:p>
      <w:pPr>
        <w:spacing w:after="40" w:before="40"/>
      </w:pPr>
    </w:p>
    <w:p>
      <w:pPr>
        <w:spacing w:after="80" w:before="40"/>
      </w:pPr>
      <w:r>
        <w:rPr>
          <w:rFonts w:ascii="Arial" w:cs="Arial" w:eastAsia="Arial" w:hAnsi="Arial"/>
          <w:i/>
          <w:iCs/>
          <w:color w:val="64748B"/>
          <w:sz w:val="17"/>
          <w:szCs w:val="17"/>
        </w:rPr>
        <w:t xml:space="preserve">Note: B+D must notify the Founder in writing of any Background IP not on this list within 20 Business Days of the Completion Date. Unlisted items claimed after that date cannot be asserted against the Company.</w:t>
      </w:r>
    </w:p>
    <w:p>
      <w:pPr>
        <w:pageBreakBefore/>
      </w:pPr>
    </w:p>
    <w:p>
      <w:pPr>
        <w:spacing w:after="40" w:before="40"/>
      </w:pPr>
    </w:p>
    <w:sectPr>
      <w:headerReference w:type="default" r:id="rId7"/>
      <w:footerReference w:type="default" r:id="rId8"/>
      <w:pgSz w:w="11906" w:h="16838" w:orient="portrait"/>
      <w:pgMar w:top="1300" w:right="1300" w:bottom="1300" w:left="13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E2E8F0" w:sz="4"/>
      </w:pBdr>
      <w:jc w:val="center"/>
    </w:pPr>
    <w:r>
      <w:rPr>
        <w:rFonts w:ascii="Arial" w:cs="Arial" w:eastAsia="Arial" w:hAnsi="Arial"/>
        <w:color w:val="64748B"/>
        <w:sz w:val="15"/>
        <w:szCs w:val="15"/>
      </w:rPr>
      <w:t xml:space="preserve">© Macaire Solutions Ltd (CH: 15754659)  ·  Page </w:t>
    </w:r>
    <w:r>
      <w:rPr>
        <w:rFonts w:ascii="Arial" w:cs="Arial" w:eastAsia="Arial" w:hAnsi="Arial"/>
        <w:color w:val="64748B"/>
        <w:sz w:val="15"/>
        <w:szCs w:val="15"/>
      </w:rPr>
      <w:fldChar w:fldCharType="begin"/>
      <w:instrText xml:space="preserve">PAGE</w:instrText>
      <w:fldChar w:fldCharType="separate"/>
      <w:fldChar w:fldCharType="end"/>
    </w:r>
    <w:r>
      <w:rPr>
        <w:rFonts w:ascii="Arial" w:cs="Arial" w:eastAsia="Arial" w:hAnsi="Arial"/>
        <w:color w:val="64748B"/>
        <w:sz w:val="15"/>
        <w:szCs w:val="15"/>
      </w:rPr>
      <w:t xml:space="preserve">  ·  Template only — not legal advice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E2E8F0" w:sz="4"/>
      </w:pBdr>
      <w:jc w:val="right"/>
    </w:pPr>
    <w:r>
      <w:rPr>
        <w:rFonts w:ascii="Arial" w:cs="Arial" w:eastAsia="Arial" w:hAnsi="Arial"/>
        <w:color w:val="64748B"/>
        <w:sz w:val="15"/>
        <w:szCs w:val="15"/>
      </w:rPr>
      <w:t xml:space="preserve">FOUNDER75 SHAREHOLDERS AGREEMENT  ·  CONFIDENTIAL DRAFT  ·  Seek independent legal advice before signing</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60"/>
      <w:outlineLvl w:val="0"/>
    </w:pPr>
    <w:rPr>
      <w:rFonts w:ascii="Arial" w:cs="Arial" w:eastAsia="Arial" w:hAnsi="Arial"/>
      <w:b/>
      <w:bCs/>
      <w:color w:val="0F2444"/>
      <w:sz w:val="28"/>
      <w:szCs w:val="28"/>
    </w:rPr>
  </w:style>
  <w:style w:type="paragraph" w:styleId="Heading2">
    <w:name w:val="Heading 2"/>
    <w:basedOn w:val="Normal"/>
    <w:next w:val="Normal"/>
    <w:qFormat/>
    <w:pPr>
      <w:spacing w:after="100" w:before="240"/>
      <w:outlineLvl w:val="1"/>
    </w:pPr>
    <w:rPr>
      <w:rFonts w:ascii="Arial" w:cs="Arial" w:eastAsia="Arial" w:hAnsi="Arial"/>
      <w:b/>
      <w:bCs/>
      <w:color w:val="0F2444"/>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2026-06-24T10:11:27.320Z</dcterms:created>
  <dcterms:modified xsi:type="dcterms:W3CDTF">2026-06-24T10:11:27.331Z</dcterms:modified>
</cp:coreProperties>
</file>

<file path=docProps/custom.xml><?xml version="1.0" encoding="utf-8"?>
<Properties xmlns="http://schemas.openxmlformats.org/officeDocument/2006/custom-properties" xmlns:vt="http://schemas.openxmlformats.org/officeDocument/2006/docPropsVTypes"/>
</file>